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225"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shd w:val="clear" w:fill="FFFFFF"/>
        </w:rPr>
        <w:t>开阳县发展和改革局2020年部门预算及“三公”经费 预算信息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一、部门概况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（一）部门主要职能。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（二）部门预算单位构成。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（三）部门人员构成。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二、发改局2020年部门预算公开报表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（一）部门收支总表。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（二）部门收入总表。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（三）部门支出总表。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（四）财政拨款收支总表。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（五）一般公共预算支出表。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（六）一般公共预算基本支出表。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（七）一般公共预算“三公”经费支出表。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（八）政府性基金预算支出表。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三、发改局2020年预算安排说明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（一）部门收支总体情况。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（二）部门收入总体情况。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（三）部门支出总体情况。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（四）财政拨款收支总体情况。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（五）一般公共预算支出情况。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（六）一般公共预算基本支出情况。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（七）一般公共预算“三公”经费支出情况。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（八）政府性基金预算支出情况。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四、其他重要事项说明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（一）发改局运行经费说明。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（二）发改局国有资产占有使用情况。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（三）发改局政府采购情况。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（四）发改局项目支出安排说明。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（五）发改局国有资本经营预算情况。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240" w:firstLineChars="1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（六）开阳县发展和改革局预算绩效说明。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240" w:firstLineChars="1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（七）部分专有名词解释。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一、部门概况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（一）部门主要职能。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1.发改局主要职能：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拟订并组织实施全县国民经济和社会发展战略、中长期规划和年度计划，衔接、平衡各乡（镇）、各主要行业发展规划；贯彻实施国家产业政策，统筹协调经济社会发展，研究分析经济形势，提出全县国民经济发展、价格总水平调控和优化重大经济结构的目标和政策；提出综合运用各种经济手段和政策的建议；受县人民政府委托向县人大提出全县国民经济和社会发展计划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负责监测全县宏观经济和社会发展态势，承担预测、预警和信息引导责任；参与组织重要经济政策措施的贯彻实施；提出全县宏观经济政策，综合运用经济杠杆对经济运行及时调控的政策措施和建议；分析研究经济形势，调节经济运行，协调解决经济运行中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研究经济体制改革和对外开放有关问题；承担指导推进和综合协调全县经济体制改革的责任；组织拟订全县综合性经济体制改革方案，会同有关部门做好重要专项经济体制改革之间的衔接；指导、协调、推动全县公务用车制度改革，制定并实施公务用车制度改革方案；统筹研究和协调解决国有企业改革中的重大问题和难点问题；负责全县国有企业资产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承担规划重大建设项目和生产力布局的责任。建立完善全县项目库，研究提出全县固定资产投资总规模和资金投向的相关政策措施和建议，衔接平衡各种资金来源；指导协调矿产、能源、资源等领域重大项目的对外合作；安排县统筹、县财政自筹等财政性建设资金和项目，组织协调和申报国家、省、市的各项专项资金；按程序和管理权限负责基本建设项目的审批、核准、备案和上报；对县级政府投资项目建设实施综合监督管理。研究提出全县利用外资、境外投资的发展战略、措施建议并组织实施；编制县级重点建设项目计划，加强对国家、省级、市级和县级重点建设项目的管理；监督重点建设项目的招标投标执行情况，协调解决重点建设项目建设过程中出现的重大问题；促进重点建设项目按设计要求竣工投产；负责重点建设项目的后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5）推进经济结构战略性调整。组织拟订和实施产业结构调整规划，监督、检查产业结构调整执行情况，提出重点行业、重点产品调整方案；组织拟订综合性产业政策，负责协调第一、二、三产业发展的重大问题并衔接平衡相关发展规划和重大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6）统筹服务业发展，会同有关部门拟订服务业发展战略、重大政策及规划；监测分析全县服务业发展情况，提出有关政策措施和建议，协调服务业发展中的重大问题，指导行业协会改革和发展；综合分析交通运输发展的重大问题，协调全县重大交通基础设施建设工作，做好国民经济与社会发展规划、计划的衔接平衡，负责各乡（镇）经济协作的统筹协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7）统筹推进城乡区域协调发展；贯彻落实国家促进地方经济社会发展的政策意见，组织实施国家西部大开发战略及省、市的区域协调发展战略，组织协调重大基础设施项目的前期工作；牵头组织特重大自然灾害的灾后恢复重建规划编制，协调有关重大问题；开展跨区域间发展战略和发展规划上的衔接，统筹推进全县各乡（镇）合作发展工作，做好全面深化合作发展的顶层设计；研究拟订跨区域发展战略、规划和年度工作计划并组织实施。负责乡（镇）城镇化发展的统筹协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8）研究分析县内、县外市场的供求状况，做好县内重要商品供需总量平衡，掌握商品市场供求信息，做好市场监测预测，引导和调控商品市场；按照国家、省、市培育和发展市场主体的总体规划和要求，积极培育和发展全县市场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9）研究提出全县社会发展战略，组织拟订和协调社会事业发展规划和年度计划；管理上报社会发展项目；研究拟订人口发展战略、规划及人口政策，做好科学技术、教育、文化、卫生等社会事业与国民经济发展的衔接平衡工作；推进重大科技成果产业化；提出经济与社会协调发展、相互促进的政策，协调各项社会事业发展中的重大问题；统筹推进基本公共服务体系建设和收入分配制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10）推进可持续发展战略。研究全县能源资源节约和综合利用的工作重点，参与组织全社会能源资源节约和综合利用项目，配合开展项目的申报、审批和实施工程中的宣传、指导、检查、监督工作。提出建立健全生态补偿机制的政策措施，完善固定资产投资项目节能评估和审查制度；负责推进节能环保产业发展、重点用能单位节能管理、清洁生产、节能减排监察执法、能源行业行政执法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11）指导、协调各乡（镇）、各部门、各行业的发展规划和计划工作，对国民经济和社会发展年度计划、中长期规划、重点产业专项规划执行情况进行检查并提出调整建议。组织实施招投标政策措施及配套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（12）组织编制国民经济动员规划、计划，研究国民经济动员与国民经济、国防建设的关系，协调相关重大问题，组织实施国民经济动员有关工作。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（13）负责牵头做好供给侧结构性改革推进工作。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（14）贯彻执行国家、省和市关于粮食和物资储备管理的法律法规、规范性文件；研究提出县级粮食流通和物资储备体制改革方案并组织实施。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（15）拟订县级储备发展规划和重要物资储备规划、储备品种目录并组织实施。根据县级储备发展规划和品种目录，组织县级重要物资和应急储备物资的收储、轮换和日常管理，落实有关动用计划和指令。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16）按规定管理县级粮食、食糖、药品、食盐、石油及天然气、救灾物资等储备，负责县级储备粮等行政管理。监测全县粮食和重要物资供求变化并预测预警，承担全县粮食流通宏观调控的具体工作；对粮油的“购、销、调、存、加”进行宏观管理，承担全县粮食安全责任制考核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（17）组织实施国家、省、市和县粮食和物资储备仓储管理有关技术标准和规范，负责县级粮食流通、加工行业安全生产工作的监督管理，承担县级物资储备承储单位安全生产的监管责任。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（18）根据全县储备发展规划，统一负责储备基础设施建设和管理。拟订县级储备基础设施、粮食流通设施建设规划并组织实施，管理有关储备基础设施和粮食流通设施投资项目。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19）负责对管理的政府储备、企业储备以及储备政策落实情况进行监督检查。执行国家、省、市粮食收购政策，负责粮食收购许可证办理工作。配合有关部门做好粮食收购资金封闭运行和价格管理工作。负责全县粮食流通监督检查，负责粮食收购、储存、运输环节粮食质量安全和原粮卫生的监督管理，组织实施全县粮食库存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（20）负责全县粮食流通行业管理，拟订行业发展规划并组织实施，组织实施粮食流通和物资储备有关标准、粮食质量标准和有关技术规范。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（21）承担保障驻县部队军粮供应工作；贯彻实施国家粮食财务、统计、审计制度；开展社会粮食供需平衡调查统计工作。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22）编制和执行价格调整改革规划；组织实施价格政策；管理国家、省列名管理的商品和服务价格；监测、预测重要商品和服务价格水平及变动趋势；综合运用经济、行政、法律等手段稳控物价总水平；负责全县价格调节基金项目管理相关工作；负责价格成本调查监审、价格评估、价格认证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23）结合部门职责,做好军民融合、扶贫开发等相关工作;加大科技投入,提高科技创新能力,为推进创新驱动发展提供保障;负责本部门、本行业领域的安全生产和消防安全工作；按规定做好大数据发展应用和政务数据资源管理相关工作,依法促进部门政务数据资源规范管理、共享和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（二）部门预算单位构成。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预算单位包括：发改局机关1个，其中内设7个职能科室，分别为办公室（党建办公室）、发展规划科、综合经济运行科（县国民经济动员办公室）、固定资产投资科（县投融资管理办公室）、经济体制综合改革科（县国改办、县公务用车改革办公室、县统筹城乡办公室）、价格管理科、粮食和物资储备科。局机关辖1个副科级参公事业单位（县循环经济办公室），1个正科级事业单位（县小康社会建设办公室），1个副科级事业单位（县第三产业服务中心）、1个股级事业单位（县节能监察中心），2个自收自支股级事业单位（县军粮供应站、县价格认证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（三）部门人员构成。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2019年末编制人员63人。其中：县发改局机关行政人员编制21名，机关工勤人员编制4名，参公事业编制12名，全额拨款事业编制19名，自收自支事业编制7名。实有在职人员50人，离退休70人。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 发改局2020年部门预算公开报表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（一）部门收支总表。</w:t>
      </w:r>
    </w:p>
    <w:tbl>
      <w:tblPr>
        <w:tblStyle w:val="4"/>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31"/>
        <w:gridCol w:w="2471"/>
        <w:gridCol w:w="1437"/>
        <w:gridCol w:w="2111"/>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blCellSpacing w:w="0" w:type="dxa"/>
        </w:trPr>
        <w:tc>
          <w:tcPr>
            <w:tcW w:w="14520" w:type="dxa"/>
            <w:gridSpan w:val="5"/>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 2020年部门收支预算总表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0770" w:type="dxa"/>
            <w:gridSpan w:val="3"/>
            <w:tcBorders>
              <w:top w:val="nil"/>
              <w:left w:val="nil"/>
              <w:bottom w:val="single" w:color="auto" w:sz="6" w:space="0"/>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（本表收入按收入性质填列，支出按政府收支功能分类科目填列至“类”级科目）</w:t>
            </w:r>
          </w:p>
        </w:tc>
        <w:tc>
          <w:tcPr>
            <w:tcW w:w="2100"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667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2020年收入</w:t>
            </w:r>
          </w:p>
        </w:tc>
        <w:tc>
          <w:tcPr>
            <w:tcW w:w="6195" w:type="dxa"/>
            <w:gridSpan w:val="2"/>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2020年支出</w:t>
            </w:r>
          </w:p>
        </w:tc>
        <w:tc>
          <w:tcPr>
            <w:tcW w:w="165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4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项目</w:t>
            </w: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预算数</w:t>
            </w:r>
          </w:p>
        </w:tc>
        <w:tc>
          <w:tcPr>
            <w:tcW w:w="4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项目</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预算数</w:t>
            </w:r>
          </w:p>
        </w:tc>
        <w:tc>
          <w:tcPr>
            <w:tcW w:w="165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4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一、一般公共预算收入</w:t>
            </w: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19904865.01　</w:t>
            </w:r>
          </w:p>
        </w:tc>
        <w:tc>
          <w:tcPr>
            <w:tcW w:w="4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4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  1.原一般公共预算拨款收入</w:t>
            </w: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   19904865.01</w:t>
            </w:r>
          </w:p>
        </w:tc>
        <w:tc>
          <w:tcPr>
            <w:tcW w:w="4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一、一般公共服务支出</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19904865.01</w:t>
            </w: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4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  2.原预算外转一般公共预算管理资金收入</w:t>
            </w: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4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二、外交支出</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4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二、政府性基金预算拨款收入</w:t>
            </w: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4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三、国防支出</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0" w:type="dxa"/>
        </w:trPr>
        <w:tc>
          <w:tcPr>
            <w:tcW w:w="4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三、财政专户管理非税收入</w:t>
            </w: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4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四、公共安全支出</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4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四、事业收入</w:t>
            </w: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4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五、教育支出</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4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五、事业单位经营收入</w:t>
            </w: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4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4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六、其他收入</w:t>
            </w: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4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4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4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4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4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4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本年收入合计</w:t>
            </w: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4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本年支出合计</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4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上年结转</w:t>
            </w: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4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结转下年</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4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4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4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收  入  总  计</w:t>
            </w:r>
          </w:p>
        </w:tc>
        <w:tc>
          <w:tcPr>
            <w:tcW w:w="18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19904865.01</w:t>
            </w:r>
          </w:p>
        </w:tc>
        <w:tc>
          <w:tcPr>
            <w:tcW w:w="4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支  出  总  计</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19904865.01</w:t>
            </w: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（二）部门收入总表。</w:t>
      </w:r>
    </w:p>
    <w:tbl>
      <w:tblPr>
        <w:tblStyle w:val="4"/>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51"/>
        <w:gridCol w:w="92"/>
        <w:gridCol w:w="603"/>
        <w:gridCol w:w="1307"/>
        <w:gridCol w:w="608"/>
        <w:gridCol w:w="1307"/>
        <w:gridCol w:w="608"/>
        <w:gridCol w:w="608"/>
        <w:gridCol w:w="608"/>
        <w:gridCol w:w="608"/>
        <w:gridCol w:w="608"/>
        <w:gridCol w:w="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blCellSpacing w:w="0" w:type="dxa"/>
        </w:trPr>
        <w:tc>
          <w:tcPr>
            <w:tcW w:w="13950" w:type="dxa"/>
            <w:gridSpan w:val="12"/>
            <w:tcBorders>
              <w:top w:val="nil"/>
              <w:left w:val="nil"/>
              <w:bottom w:val="nil"/>
              <w:right w:val="nil"/>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发改局2020年部门收入总表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005" w:type="dxa"/>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280" w:type="dxa"/>
            <w:gridSpan w:val="2"/>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60" w:type="dxa"/>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40" w:type="dxa"/>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30" w:type="dxa"/>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nil"/>
              <w:right w:val="nil"/>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0" w:hRule="atLeast"/>
          <w:tblCellSpacing w:w="0" w:type="dxa"/>
        </w:trPr>
        <w:tc>
          <w:tcPr>
            <w:tcW w:w="328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科目</w:t>
            </w:r>
          </w:p>
        </w:tc>
        <w:tc>
          <w:tcPr>
            <w:tcW w:w="1560"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合计</w:t>
            </w:r>
          </w:p>
        </w:tc>
        <w:tc>
          <w:tcPr>
            <w:tcW w:w="840"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上年结转</w:t>
            </w:r>
          </w:p>
        </w:tc>
        <w:tc>
          <w:tcPr>
            <w:tcW w:w="1395"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一般公共预算收入</w:t>
            </w:r>
          </w:p>
        </w:tc>
        <w:tc>
          <w:tcPr>
            <w:tcW w:w="1230"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政府性基金预算拨款收入</w:t>
            </w:r>
          </w:p>
        </w:tc>
        <w:tc>
          <w:tcPr>
            <w:tcW w:w="915"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财政专户管理非税收入</w:t>
            </w:r>
          </w:p>
        </w:tc>
        <w:tc>
          <w:tcPr>
            <w:tcW w:w="1305"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事业收入</w:t>
            </w:r>
          </w:p>
        </w:tc>
        <w:tc>
          <w:tcPr>
            <w:tcW w:w="1245"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事业经营收入</w:t>
            </w:r>
          </w:p>
        </w:tc>
        <w:tc>
          <w:tcPr>
            <w:tcW w:w="1020"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其他收入</w:t>
            </w:r>
          </w:p>
        </w:tc>
        <w:tc>
          <w:tcPr>
            <w:tcW w:w="1155"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科目编码</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科目名称</w:t>
            </w:r>
          </w:p>
        </w:tc>
        <w:tc>
          <w:tcPr>
            <w:tcW w:w="1560"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40"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395"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230"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305"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245"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020"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155"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201</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一般公共服务支出</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17468657.41</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17468657.41</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20104</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发展与改革事务</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17468657.41</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17468657.41</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2010401</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行政运行</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6968657.41</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6968657.41</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2010408</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物价管理</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500000.00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500000.00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2010499</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其他发展与改革事务支出</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10000000.00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10000000.00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208</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社会保障和就业支出</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708044.00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708044.00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20805</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行政事业单位养老支出</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613044.00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613044.00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2080505</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机关事业单位基本养老保险缴费支出</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613044.00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613044.00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20806</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企业改革补助</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2080699</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其他企业改革发展补助　</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210</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卫生健康支出</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812000.00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812000.00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21011</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行政事业单位医疗</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812000.00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812000.00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2101101</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行政单位医疗</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636000.00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636000.00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2101103</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公务员医疗补助</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176000.00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176000.00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221</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住房保障支出</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22102</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住房改革支出</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2210201</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住房公积金</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222</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粮油物资储备支出</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22201</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粮油事务</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4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2220199</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其他粮油事务支出</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328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合计</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19904865.01</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19904865.01</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（三）部门支出总表。</w:t>
      </w:r>
    </w:p>
    <w:tbl>
      <w:tblPr>
        <w:tblStyle w:val="4"/>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61"/>
        <w:gridCol w:w="261"/>
        <w:gridCol w:w="686"/>
        <w:gridCol w:w="1544"/>
        <w:gridCol w:w="1446"/>
        <w:gridCol w:w="1544"/>
        <w:gridCol w:w="691"/>
        <w:gridCol w:w="691"/>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0" w:type="dxa"/>
        </w:trPr>
        <w:tc>
          <w:tcPr>
            <w:tcW w:w="14415" w:type="dxa"/>
            <w:gridSpan w:val="9"/>
            <w:tcBorders>
              <w:top w:val="nil"/>
              <w:left w:val="nil"/>
              <w:bottom w:val="nil"/>
              <w:right w:val="nil"/>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发改局2020年部门支出总表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155" w:type="dxa"/>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520" w:type="dxa"/>
            <w:gridSpan w:val="2"/>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45" w:type="dxa"/>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45" w:type="dxa"/>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45" w:type="dxa"/>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nil"/>
              <w:right w:val="nil"/>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367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科目</w:t>
            </w:r>
          </w:p>
        </w:tc>
        <w:tc>
          <w:tcPr>
            <w:tcW w:w="1845"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合计</w:t>
            </w:r>
          </w:p>
        </w:tc>
        <w:tc>
          <w:tcPr>
            <w:tcW w:w="1845"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基本支出</w:t>
            </w:r>
          </w:p>
        </w:tc>
        <w:tc>
          <w:tcPr>
            <w:tcW w:w="1845"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项目支出</w:t>
            </w:r>
          </w:p>
        </w:tc>
        <w:tc>
          <w:tcPr>
            <w:tcW w:w="1965"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事业单位经营支出</w:t>
            </w:r>
          </w:p>
        </w:tc>
        <w:tc>
          <w:tcPr>
            <w:tcW w:w="1710"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其他支出</w:t>
            </w:r>
          </w:p>
        </w:tc>
        <w:tc>
          <w:tcPr>
            <w:tcW w:w="1530"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科目编码</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科目名称</w:t>
            </w:r>
          </w:p>
        </w:tc>
        <w:tc>
          <w:tcPr>
            <w:tcW w:w="1845"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845"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845"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965"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530"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201</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一般公共服务支出</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17468657.41</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6968657.41</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10500000.00　</w:t>
            </w: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20104</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发展与改革事务</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17468657.41</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6968657.41</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10500000.00　</w:t>
            </w: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2010401</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行政运行</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6968657.41</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6968657.41</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2010408</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物价管理</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500000.00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500000.00</w:t>
            </w: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2010499</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其他发展与改革事务支出</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10000000.00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10000000.00</w:t>
            </w: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208</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社会保障和就业支出</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708044.00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613044.00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　</w:t>
            </w: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20805</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行政事业单位养老支出</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613044.00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613044.00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2080505</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机关事业单位基本养老保险缴费支出</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613044.00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613044.00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20806</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企业改革补助</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2080699</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其他企业改革发展补助　</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210</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卫生健康支出</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812000.00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812000.00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21011</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行政事业单位医疗</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812000.00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812000.00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2101101</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行政单位医疗</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636000.00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636000.00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2101103</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公务员医疗补助</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176000.00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176000.00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221</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住房保障支出</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22102</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住房改革支出</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2210201</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住房公积金</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222</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粮油物资储备支出</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22201</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粮油事务</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62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2220199</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其他粮油事务支出</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67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合计</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19904865.01</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9109865.01　</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10795000.00　</w:t>
            </w: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（四）财政拨款收支总表。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tbl>
      <w:tblPr>
        <w:tblStyle w:val="4"/>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011"/>
        <w:gridCol w:w="1500"/>
        <w:gridCol w:w="842"/>
        <w:gridCol w:w="1500"/>
        <w:gridCol w:w="1500"/>
        <w:gridCol w:w="671"/>
        <w:gridCol w:w="504"/>
        <w:gridCol w:w="205"/>
        <w:gridCol w:w="432"/>
        <w:gridCol w:w="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blCellSpacing w:w="0" w:type="dxa"/>
        </w:trPr>
        <w:tc>
          <w:tcPr>
            <w:tcW w:w="11880" w:type="dxa"/>
            <w:gridSpan w:val="6"/>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                        发改局2020年财政拨款收支总表</w:t>
            </w:r>
          </w:p>
        </w:tc>
        <w:tc>
          <w:tcPr>
            <w:tcW w:w="1275" w:type="dxa"/>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60" w:type="dxa"/>
            <w:gridSpan w:val="2"/>
            <w:tcBorders>
              <w:top w:val="nil"/>
              <w:left w:val="nil"/>
              <w:bottom w:val="nil"/>
              <w:right w:val="nil"/>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 w:type="dxa"/>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5490" w:type="dxa"/>
            <w:gridSpan w:val="2"/>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625" w:type="dxa"/>
            <w:gridSpan w:val="7"/>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单位：元</w:t>
            </w:r>
          </w:p>
        </w:tc>
        <w:tc>
          <w:tcPr>
            <w:tcW w:w="315" w:type="dxa"/>
            <w:tcBorders>
              <w:top w:val="nil"/>
              <w:left w:val="nil"/>
              <w:bottom w:val="single" w:color="auto" w:sz="6" w:space="0"/>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5" w:hRule="atLeast"/>
          <w:tblCellSpacing w:w="0" w:type="dxa"/>
        </w:trPr>
        <w:tc>
          <w:tcPr>
            <w:tcW w:w="549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收入</w:t>
            </w:r>
          </w:p>
        </w:tc>
        <w:tc>
          <w:tcPr>
            <w:tcW w:w="8145" w:type="dxa"/>
            <w:gridSpan w:val="6"/>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支出</w:t>
            </w:r>
          </w:p>
        </w:tc>
        <w:tc>
          <w:tcPr>
            <w:tcW w:w="810" w:type="dxa"/>
            <w:gridSpan w:val="2"/>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blCellSpacing w:w="0" w:type="dxa"/>
        </w:trPr>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项目</w:t>
            </w: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预算数</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项目</w:t>
            </w: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合计</w:t>
            </w: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一般公共预算</w:t>
            </w:r>
          </w:p>
        </w:tc>
        <w:tc>
          <w:tcPr>
            <w:tcW w:w="1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政府性基金预算</w:t>
            </w:r>
          </w:p>
        </w:tc>
        <w:tc>
          <w:tcPr>
            <w:tcW w:w="17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财政专户管理非税</w:t>
            </w:r>
          </w:p>
        </w:tc>
        <w:tc>
          <w:tcPr>
            <w:tcW w:w="810" w:type="dxa"/>
            <w:gridSpan w:val="2"/>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一、本年收入</w:t>
            </w: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19904865.01</w:t>
            </w:r>
          </w:p>
        </w:tc>
        <w:tc>
          <w:tcPr>
            <w:tcW w:w="180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一、一般公共服务支出</w:t>
            </w: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19904865.01　</w:t>
            </w: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19904865.01　</w:t>
            </w:r>
          </w:p>
        </w:tc>
        <w:tc>
          <w:tcPr>
            <w:tcW w:w="1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1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（一）一般公共预算拨款</w:t>
            </w: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19904865.01</w:t>
            </w:r>
          </w:p>
        </w:tc>
        <w:tc>
          <w:tcPr>
            <w:tcW w:w="1800" w:type="dxa"/>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二、外交支出</w:t>
            </w: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1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   1.原一般公共预算拨款</w:t>
            </w: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19904865.01</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三、国防支出</w:t>
            </w: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1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   2.原预算外转一般公共预算管理资</w:t>
            </w: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四、公共安全支出</w:t>
            </w: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1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（二）政府性基金预算拨款</w:t>
            </w: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五、教育支出</w:t>
            </w: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1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（三）财政专户管理非税</w:t>
            </w: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w:t>
            </w: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1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1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1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1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二、上年结转</w:t>
            </w: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二、结转下年</w:t>
            </w: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1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1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1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0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1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8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收入总计</w:t>
            </w:r>
          </w:p>
        </w:tc>
        <w:tc>
          <w:tcPr>
            <w:tcW w:w="1650"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19904865.01　</w:t>
            </w:r>
          </w:p>
        </w:tc>
        <w:tc>
          <w:tcPr>
            <w:tcW w:w="18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支出总计</w:t>
            </w: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19904865.01　</w:t>
            </w: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19904865.01　</w:t>
            </w:r>
          </w:p>
        </w:tc>
        <w:tc>
          <w:tcPr>
            <w:tcW w:w="17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7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1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（五）一般公共预算支出表。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tbl>
      <w:tblPr>
        <w:tblStyle w:val="4"/>
        <w:tblW w:w="148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083"/>
        <w:gridCol w:w="1374"/>
        <w:gridCol w:w="1375"/>
        <w:gridCol w:w="2851"/>
        <w:gridCol w:w="2434"/>
        <w:gridCol w:w="1975"/>
        <w:gridCol w:w="2116"/>
        <w:gridCol w:w="1229"/>
        <w:gridCol w:w="126"/>
        <w:gridCol w:w="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0" w:hRule="atLeast"/>
          <w:tblCellSpacing w:w="0" w:type="dxa"/>
        </w:trPr>
        <w:tc>
          <w:tcPr>
            <w:tcW w:w="14475" w:type="dxa"/>
            <w:gridSpan w:val="9"/>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开阳县（发改局）2020年一般公共预算支出表</w:t>
            </w:r>
          </w:p>
        </w:tc>
        <w:tc>
          <w:tcPr>
            <w:tcW w:w="360" w:type="dxa"/>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4850" w:type="dxa"/>
            <w:gridSpan w:val="10"/>
            <w:tcBorders>
              <w:top w:val="nil"/>
              <w:left w:val="nil"/>
              <w:bottom w:val="single" w:color="auto" w:sz="6" w:space="0"/>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（本表支出按政府收支功能分类科目填列至“项”级科目）                                                                             单位：元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394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科目编码</w:t>
            </w:r>
          </w:p>
        </w:tc>
        <w:tc>
          <w:tcPr>
            <w:tcW w:w="3465"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科目名称</w:t>
            </w:r>
          </w:p>
        </w:tc>
        <w:tc>
          <w:tcPr>
            <w:tcW w:w="2535"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合 计</w:t>
            </w:r>
          </w:p>
        </w:tc>
        <w:tc>
          <w:tcPr>
            <w:tcW w:w="1515"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基本支出</w:t>
            </w:r>
          </w:p>
        </w:tc>
        <w:tc>
          <w:tcPr>
            <w:tcW w:w="1515"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项目支出</w:t>
            </w:r>
          </w:p>
        </w:tc>
        <w:tc>
          <w:tcPr>
            <w:tcW w:w="1335" w:type="dxa"/>
            <w:vMerge w:val="restart"/>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备注</w:t>
            </w: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类</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款</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项</w:t>
            </w:r>
          </w:p>
        </w:tc>
        <w:tc>
          <w:tcPr>
            <w:tcW w:w="3465"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2535"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515"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515"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1335" w:type="dxa"/>
            <w:vMerge w:val="continue"/>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7410"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合计</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19904865.01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9109865.01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10795000.00</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一般公共服务支出</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17468657.41</w:t>
            </w:r>
          </w:p>
        </w:tc>
        <w:tc>
          <w:tcPr>
            <w:tcW w:w="1515" w:type="dxa"/>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6968657.41</w:t>
            </w:r>
          </w:p>
        </w:tc>
        <w:tc>
          <w:tcPr>
            <w:tcW w:w="1515" w:type="dxa"/>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10500000.00</w:t>
            </w:r>
          </w:p>
        </w:tc>
        <w:tc>
          <w:tcPr>
            <w:tcW w:w="1335" w:type="dxa"/>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04</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发展与改革事务</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17468657.41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6968657.41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10500000.00</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04</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01</w:t>
            </w: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行政运行</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6968657.41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6968657.41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04</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08</w:t>
            </w: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物价管理</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500000.00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500000.00</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04</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99</w:t>
            </w: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其他发展与改革事务支出</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10000000.00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10000000.00</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208</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社会保障和就业支出</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708044.00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613044.00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208</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05</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行政事业单位养老支出</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613044.00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613044.00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208</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05</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05</w:t>
            </w: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机关事业单位基本养老保险缴费支出</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613044.00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613044.00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208</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06</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企业改革补助</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208</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06</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99</w:t>
            </w: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其他企业改革发展补助</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210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卫生健康支出</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812000.00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812000.00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210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行政事业单位医疗</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812000.00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812000.00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210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01</w:t>
            </w: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行政单位医疗</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636000.00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636000.00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210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03</w:t>
            </w: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公务员医疗补助</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176000.00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176000.00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住房保障支出</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02</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住房改革支出</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02</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01</w:t>
            </w: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住房公积金</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222</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粮油物资储备支出</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222</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粮油事务</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trPr>
        <w:tc>
          <w:tcPr>
            <w:tcW w:w="9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222</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01</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99</w:t>
            </w:r>
          </w:p>
        </w:tc>
        <w:tc>
          <w:tcPr>
            <w:tcW w:w="3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其他粮油事务支出</w:t>
            </w:r>
          </w:p>
        </w:tc>
        <w:tc>
          <w:tcPr>
            <w:tcW w:w="2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0" w:hRule="atLeast"/>
          <w:tblCellSpacing w:w="0" w:type="dxa"/>
        </w:trPr>
        <w:tc>
          <w:tcPr>
            <w:tcW w:w="14295" w:type="dxa"/>
            <w:gridSpan w:val="8"/>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40" w:type="dxa"/>
            <w:gridSpan w:val="2"/>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（六）一般公共预算基本支出表。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发改局2020年一般公共预算基本支出明细表（按经济分类）</w:t>
      </w:r>
    </w:p>
    <w:tbl>
      <w:tblPr>
        <w:tblStyle w:val="4"/>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65"/>
        <w:gridCol w:w="628"/>
        <w:gridCol w:w="1250"/>
        <w:gridCol w:w="628"/>
        <w:gridCol w:w="1587"/>
        <w:gridCol w:w="1712"/>
        <w:gridCol w:w="633"/>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trPr>
        <w:tc>
          <w:tcPr>
            <w:tcW w:w="7710" w:type="dxa"/>
            <w:gridSpan w:val="4"/>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6570" w:type="dxa"/>
            <w:gridSpan w:val="4"/>
            <w:tcBorders>
              <w:top w:val="nil"/>
              <w:left w:val="nil"/>
              <w:bottom w:val="nil"/>
              <w:right w:val="nil"/>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blCellSpacing w:w="0" w:type="dxa"/>
        </w:trPr>
        <w:tc>
          <w:tcPr>
            <w:tcW w:w="331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政府预算经济分类</w:t>
            </w:r>
          </w:p>
        </w:tc>
        <w:tc>
          <w:tcPr>
            <w:tcW w:w="4395" w:type="dxa"/>
            <w:gridSpan w:val="2"/>
            <w:tcBorders>
              <w:top w:val="single" w:color="auto" w:sz="6" w:space="0"/>
              <w:left w:val="single" w:color="auto" w:sz="2"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部门预算经济分类</w:t>
            </w:r>
          </w:p>
        </w:tc>
        <w:tc>
          <w:tcPr>
            <w:tcW w:w="1620" w:type="dxa"/>
            <w:vMerge w:val="restart"/>
            <w:tcBorders>
              <w:top w:val="single" w:color="auto" w:sz="6" w:space="0"/>
              <w:left w:val="single" w:color="auto" w:sz="2"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基本支出</w:t>
            </w:r>
          </w:p>
        </w:tc>
        <w:tc>
          <w:tcPr>
            <w:tcW w:w="1665" w:type="dxa"/>
            <w:vMerge w:val="restart"/>
            <w:tcBorders>
              <w:top w:val="single" w:color="auto" w:sz="6" w:space="0"/>
              <w:left w:val="single" w:color="auto" w:sz="2"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项目支出</w:t>
            </w:r>
          </w:p>
        </w:tc>
        <w:tc>
          <w:tcPr>
            <w:tcW w:w="1650" w:type="dxa"/>
            <w:vMerge w:val="restart"/>
            <w:tcBorders>
              <w:top w:val="single" w:color="auto" w:sz="6" w:space="0"/>
              <w:left w:val="single" w:color="auto" w:sz="2"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政府采购项目金额</w:t>
            </w:r>
          </w:p>
        </w:tc>
        <w:tc>
          <w:tcPr>
            <w:tcW w:w="1635" w:type="dxa"/>
            <w:vMerge w:val="restart"/>
            <w:tcBorders>
              <w:top w:val="single" w:color="auto" w:sz="6" w:space="0"/>
              <w:left w:val="single" w:color="auto" w:sz="2"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科目编码</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科 目 名 称</w:t>
            </w: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科目编码</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科 目 名 称</w:t>
            </w:r>
          </w:p>
        </w:tc>
        <w:tc>
          <w:tcPr>
            <w:tcW w:w="1620" w:type="dxa"/>
            <w:vMerge w:val="continue"/>
            <w:tcBorders>
              <w:top w:val="single" w:color="auto" w:sz="6" w:space="0"/>
              <w:left w:val="single" w:color="auto" w:sz="2"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665" w:type="dxa"/>
            <w:vMerge w:val="continue"/>
            <w:tcBorders>
              <w:top w:val="single" w:color="auto" w:sz="6" w:space="0"/>
              <w:left w:val="single" w:color="auto" w:sz="2"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650" w:type="dxa"/>
            <w:vMerge w:val="continue"/>
            <w:tcBorders>
              <w:top w:val="single" w:color="auto" w:sz="6" w:space="0"/>
              <w:left w:val="single" w:color="auto" w:sz="2"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635" w:type="dxa"/>
            <w:vMerge w:val="continue"/>
            <w:tcBorders>
              <w:top w:val="single" w:color="auto" w:sz="6" w:space="0"/>
              <w:left w:val="single" w:color="auto" w:sz="2"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合计</w:t>
            </w: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9109865.01</w:t>
            </w:r>
          </w:p>
        </w:tc>
        <w:tc>
          <w:tcPr>
            <w:tcW w:w="1665"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10795000.00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501</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机关工资福利支出</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6465299.12</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  50101</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  工资奖金津补贴</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3856091.12</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301</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工资福利支出</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3856091.12</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  30101</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  基本工资</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1804572.00</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  30102</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  津贴补贴</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1608648.00</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  30103</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  奖金</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109109.00</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30107</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  绩效工资</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333762.12</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  50102</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  社会保障缴费</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1425044.00</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301</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工资福利支出</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1425044.00</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  30108</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  机关事业单位基本养老保险缴费</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613044.00</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  30110</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  职工基本医疗保险缴费</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516000.00</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  30111</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  公务员医疗补助缴费</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176000.00</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  30112</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  其他社会保障缴费</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120000.00</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  50103</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  住房公积金</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301</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工资福利支出</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30113</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住房公积金</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716163.60</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  50199</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  其他工资福利支出</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468000.00</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301</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工资福利支出</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468000.00</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  30199</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  其他工资福利支出</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468000.00</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502</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机关商品和服务支出</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498577.97</w:t>
            </w:r>
          </w:p>
        </w:tc>
        <w:tc>
          <w:tcPr>
            <w:tcW w:w="166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10000000.00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  50201</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  办公经费</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418577.97</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0"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302</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商品和服务支出</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418577.97</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  30201</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  办公费</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22000.00</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  30205</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  水费</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3000.00</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  30206</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  电费</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50000.00</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  30207</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邮电费</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40000.00</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  30228</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工会费</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45577.97</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30239</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其他交通费用</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258000.00</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50206</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公务接待费</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302</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商品和服务支出</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30217</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  公务接待费</w:t>
            </w:r>
          </w:p>
        </w:tc>
        <w:tc>
          <w:tcPr>
            <w:tcW w:w="162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50208</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公务用车运行维护费</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60000.00</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302</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商品和服务支出</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60000.00</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30231</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公务用车运行维护费</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60000.00</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50299</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其他商品和服务支出</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10000000.00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302</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商品和服务支出</w:t>
            </w: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10000000.00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30299</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其他商品和服务支出</w:t>
            </w: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10000000.00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505</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对事业单位经常性补助</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700000.00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50501</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工资福利支出</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500000.00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301</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工资福利支出</w:t>
            </w: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500000.00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30110</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职工基本医疗保险缴费</w:t>
            </w: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100000.00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30199</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其他工作福利支出</w:t>
            </w: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400000.00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50501</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工资福利支出</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301</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工资福利支出</w:t>
            </w: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169000.00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30110</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职工基本医疗保险缴费</w:t>
            </w: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30199</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其他工作福利支出</w:t>
            </w: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139000.00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303</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对个人和家庭的补助</w:t>
            </w: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31000.00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30302</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  退休费</w:t>
            </w: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21000.00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30305</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  生活补助</w:t>
            </w: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10000.00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507</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对企业补助</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  50799</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其他对企业补助</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311</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对企业补助</w:t>
            </w: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31199</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其他对企业补助</w:t>
            </w: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95000.00</w:t>
            </w: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509</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对个人和家庭的补助</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2145988.32</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  50905</w:t>
            </w:r>
          </w:p>
        </w:tc>
        <w:tc>
          <w:tcPr>
            <w:tcW w:w="216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  离退休费</w:t>
            </w: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2145988.32</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303</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对个人和家庭的补助</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2145988.32</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30301</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  离休费</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288231.00</w:t>
            </w:r>
          </w:p>
        </w:tc>
        <w:tc>
          <w:tcPr>
            <w:tcW w:w="1665"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30302</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  退休费</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1761277.32</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0"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30305</w:t>
            </w:r>
          </w:p>
        </w:tc>
        <w:tc>
          <w:tcPr>
            <w:tcW w:w="3150"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  生活补助</w:t>
            </w:r>
          </w:p>
        </w:tc>
        <w:tc>
          <w:tcPr>
            <w:tcW w:w="1620" w:type="dxa"/>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96480.00</w:t>
            </w: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trPr>
        <w:tc>
          <w:tcPr>
            <w:tcW w:w="1155"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16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4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20" w:type="dxa"/>
            <w:tcBorders>
              <w:top w:val="nil"/>
              <w:left w:val="nil"/>
              <w:bottom w:val="single" w:color="auto" w:sz="6" w:space="0"/>
              <w:right w:val="single" w:color="auto" w:sz="6" w:space="0"/>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（七）一般公共预算“三公”经费支出表。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tbl>
      <w:tblPr>
        <w:tblStyle w:val="4"/>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09"/>
        <w:gridCol w:w="1243"/>
        <w:gridCol w:w="1371"/>
        <w:gridCol w:w="1329"/>
        <w:gridCol w:w="1120"/>
        <w:gridCol w:w="1120"/>
        <w:gridCol w:w="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0" w:type="dxa"/>
        </w:trPr>
        <w:tc>
          <w:tcPr>
            <w:tcW w:w="14115" w:type="dxa"/>
            <w:gridSpan w:val="7"/>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发改局2020年一般公共预算“三公”经费财政拨款支出表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375"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45"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45"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9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9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blCellSpacing w:w="0" w:type="dxa"/>
        </w:trPr>
        <w:tc>
          <w:tcPr>
            <w:tcW w:w="33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项目</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2020年初预算数</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2019年初预算数</w:t>
            </w:r>
          </w:p>
        </w:tc>
        <w:tc>
          <w:tcPr>
            <w:tcW w:w="1995" w:type="dxa"/>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2020年与上年预算数相比增减变化比率</w:t>
            </w:r>
          </w:p>
        </w:tc>
        <w:tc>
          <w:tcPr>
            <w:tcW w:w="1875" w:type="dxa"/>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2020年与上年预算数相比增减变化原因</w:t>
            </w:r>
          </w:p>
        </w:tc>
        <w:tc>
          <w:tcPr>
            <w:tcW w:w="1695" w:type="dxa"/>
            <w:tcBorders>
              <w:top w:val="single" w:color="auto" w:sz="6" w:space="0"/>
              <w:left w:val="single" w:color="auto" w:sz="2"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2020年“三公”经费支出占公共财政预算支出的比重</w:t>
            </w: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blCellSpacing w:w="0" w:type="dxa"/>
        </w:trPr>
        <w:tc>
          <w:tcPr>
            <w:tcW w:w="33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合计</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80000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113200</w:t>
            </w:r>
          </w:p>
        </w:tc>
        <w:tc>
          <w:tcPr>
            <w:tcW w:w="19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29.3%</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按要求压缩三公经费</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0.4%</w:t>
            </w: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3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 一、 因公出国（境）费</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19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按要求压缩三公经费</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3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 二、公务接待费</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53200</w:t>
            </w:r>
          </w:p>
        </w:tc>
        <w:tc>
          <w:tcPr>
            <w:tcW w:w="19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-62.4%</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按要求压缩三公经费</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3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 三、公务车购置及运行维护费</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60000</w:t>
            </w:r>
          </w:p>
        </w:tc>
        <w:tc>
          <w:tcPr>
            <w:tcW w:w="19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rPr>
              <w:t>按要求压缩三公经费</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3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     1、公务车运行维护费</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60000</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60000</w:t>
            </w:r>
          </w:p>
        </w:tc>
        <w:tc>
          <w:tcPr>
            <w:tcW w:w="19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rPr>
              <w:t>按要求压缩三公经费</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3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     2、公务车购置费</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w:t>
            </w: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w:t>
            </w:r>
          </w:p>
        </w:tc>
        <w:tc>
          <w:tcPr>
            <w:tcW w:w="19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w:t>
            </w:r>
          </w:p>
        </w:tc>
        <w:tc>
          <w:tcPr>
            <w:tcW w:w="14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37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4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4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9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9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337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4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4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9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87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9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2630" w:type="dxa"/>
            <w:gridSpan w:val="6"/>
            <w:tcBorders>
              <w:top w:val="nil"/>
              <w:left w:val="nil"/>
              <w:bottom w:val="nil"/>
              <w:right w:val="nil"/>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说明：1、因公出国（境）费，指单位公务出国（境）的国际旅费、国外城市间交通费、住宿费、伙食费、培训费、公杂费等支出。</w:t>
            </w:r>
          </w:p>
        </w:tc>
        <w:tc>
          <w:tcPr>
            <w:tcW w:w="148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4115" w:type="dxa"/>
            <w:gridSpan w:val="7"/>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      2、公务用车购置费，指公务用车车辆购置支出（含车辆购置税）。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5" w:hRule="atLeast"/>
          <w:tblCellSpacing w:w="0" w:type="dxa"/>
        </w:trPr>
        <w:tc>
          <w:tcPr>
            <w:tcW w:w="14115" w:type="dxa"/>
            <w:gridSpan w:val="7"/>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      3、公务用车运行维护费，指单位按规定保留的公务用车租用费、燃料费、维修费、过桥过路费、保险费、安全奖励费用等支出。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blCellSpacing w:w="0" w:type="dxa"/>
        </w:trPr>
        <w:tc>
          <w:tcPr>
            <w:tcW w:w="14115" w:type="dxa"/>
            <w:gridSpan w:val="7"/>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         公务用车指用于履行公务的机动车辆，包括一般公务用车和执法执勤用车等。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blCellSpacing w:w="0" w:type="dxa"/>
        </w:trPr>
        <w:tc>
          <w:tcPr>
            <w:tcW w:w="14115" w:type="dxa"/>
            <w:gridSpan w:val="7"/>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      4、公务接待费，指单位按规定开支的各类公务接待（含外宾接待）费用。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0" w:type="dxa"/>
        </w:trPr>
        <w:tc>
          <w:tcPr>
            <w:tcW w:w="14115" w:type="dxa"/>
            <w:gridSpan w:val="7"/>
            <w:tcBorders>
              <w:top w:val="nil"/>
              <w:left w:val="nil"/>
              <w:bottom w:val="nil"/>
              <w:right w:val="nil"/>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      5、“三公”经费一般公共财政拨款预算数是指当年年初预算安排的财政拨款数，不含执行中追加预算安排。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0" w:type="dxa"/>
        </w:trPr>
        <w:tc>
          <w:tcPr>
            <w:tcW w:w="14115" w:type="dxa"/>
            <w:gridSpan w:val="7"/>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eastAsia" w:ascii="微软雅黑" w:hAnsi="微软雅黑" w:eastAsia="微软雅黑" w:cs="微软雅黑"/>
          <w:i w:val="0"/>
          <w:iCs w:val="0"/>
          <w:caps w:val="0"/>
          <w:color w:val="333333"/>
          <w:spacing w:val="0"/>
          <w:sz w:val="24"/>
          <w:szCs w:val="24"/>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三、发改局2020 年预算安排说明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（一）部门收支总体情况。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2020年年初预算收入合计19904865.01元。其中：财政基本拨款收入9109865.01元，财政项目拨款收入10795000.00元。预算当年收支总额与2019年相比，增加5761927.53元，主要原因是：公积金调整和项目拨款收入增加。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（二）部门收入总体情况。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 2020年收入总额为19904865.01元，其中：一般公共服务支出收入19904865.01元 ，2020年初预算收入19904865.01，占2020年部门收入的100%。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（三）部门支出总体情况。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2020年支出预算总额为19904865.01，其中：基本支出9109865.01 元，占2020年部门支出的45.8 %；项目支出10795000.00元，占2020年部门支出的54.2 %。基本支出主要是在职人员离退休人员工资，具体为行政运行支出6968658.01元，占总支出的35 %；机关事业单位基本养老保险缴费支出1425044.00元，占总支出的7.2 %；住房公积金支出716163.00元，占总支出的3.6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（四）财政拨款收支总体情况。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2020年财政拨款总收入为19904865.01元其中：本年收入19904865.01元占财政拨款总收入的 100 %。2020年一般公共预算财政拨款支出19904865.01元，其中：一般公共服务支出19904865.01元，占财政拨款支出的100 %；社会保障和就业支出1425044.00元，占财政拨款支出的7.2 %；住房保障支出716163.00元，占财政拨款支出的3.6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（五）一般公共预算支出情况。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2020年一般公共预算支出总额19904865.01元其中：基本支出9109865.01元，占一般公共预算支出总额的45.8 %；项目支出10795000.00元，占一般公共预算支出总额的54.2%。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（六）一般公共预算基本支出情况。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2020 年一般公共预算基本支出为9109865.01元，其中人员经费 8869287.44元，占一般公共预算基本支出的97 %；公用经费240577.57元，占一般公共预算基本支出的 2.6 %。人员经费主要是工资福利支出和对个人和家庭的补助及其他交通费用，其中：工资福利支出6465299.12元，占人员经费的72.9 %；对个人和家庭的补助支出2145988.32元，占人员经费的24.2 %，其他交通费用支出258000.00元，占人员经费的2.9 %。公用经费主要是商品和服务支出和其他资本性支出498577.97元，其中：商品和服务支出（不含其他交通费用支出）240577.97元，占公用经费的48.3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（七）一般公共预算“三公”经费支出情况。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2020年一般公共预算“三公”经费支出预算为80000.00元，其中：公务接待费预算为 20000.00元，公务车运行维护费预算为60000.00元，2020年“三公”经费支出占公共财政预算支出的比重为0.4 %。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  四、其他重要事项说明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（一）运行经费说明。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2020年机关运行经费预算为240577.97元，机关运行经费是为保障机构正常运转、完成日常工作任务而发生的除人员经费以外的各项开支，主要包括办公费、邮电费、水电费、差旅费、印刷费、公务车运行及维护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（二）国有资产占有使用情况。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 截止 2020年初，国有资产合计3497619.24元，其中：固定资产3497619.24元。</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0" w:right="0" w:rightChars="0" w:firstLine="480" w:firstLineChars="20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lang w:val="en-US" w:eastAsia="zh-CN"/>
        </w:rPr>
        <w:t xml:space="preserve">（三） </w:t>
      </w:r>
      <w:r>
        <w:rPr>
          <w:rFonts w:hint="eastAsia" w:ascii="微软雅黑" w:hAnsi="微软雅黑" w:eastAsia="微软雅黑" w:cs="微软雅黑"/>
          <w:i w:val="0"/>
          <w:iCs w:val="0"/>
          <w:caps w:val="0"/>
          <w:color w:val="333333"/>
          <w:spacing w:val="0"/>
          <w:sz w:val="24"/>
          <w:szCs w:val="24"/>
          <w:shd w:val="clear" w:fill="FFFFFF"/>
        </w:rPr>
        <w:t>政府采购情况。</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0" w:right="0" w:righ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开阳县发展和改革局2019 年无政府采购预算安排。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（四）项目支出安排说明。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 2020年项目支出预算为10795000元，是用于其他发展改革与事务和其他企业改革发展补助， 其中：占比较大的主要是其他发展改革与事务。</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发改局国有资本经营预算情况。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开阳县发展和改革局 2019 年没有国有资本经营预算收入。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（六）开阳县发展和改革局</w:t>
      </w:r>
      <w:r>
        <w:rPr>
          <w:rFonts w:hint="eastAsia" w:ascii="微软雅黑" w:hAnsi="微软雅黑" w:eastAsia="微软雅黑" w:cs="微软雅黑"/>
          <w:i w:val="0"/>
          <w:iCs w:val="0"/>
          <w:caps w:val="0"/>
          <w:color w:val="333333"/>
          <w:spacing w:val="0"/>
          <w:sz w:val="24"/>
          <w:szCs w:val="24"/>
          <w:shd w:val="clear" w:fill="FFFFFF"/>
          <w:lang w:eastAsia="zh-CN"/>
        </w:rPr>
        <w:t>重点项目</w:t>
      </w:r>
      <w:r>
        <w:rPr>
          <w:rFonts w:hint="eastAsia" w:ascii="微软雅黑" w:hAnsi="微软雅黑" w:eastAsia="微软雅黑" w:cs="微软雅黑"/>
          <w:i w:val="0"/>
          <w:iCs w:val="0"/>
          <w:caps w:val="0"/>
          <w:color w:val="333333"/>
          <w:spacing w:val="0"/>
          <w:sz w:val="24"/>
          <w:szCs w:val="24"/>
          <w:shd w:val="clear" w:fill="FFFFFF"/>
        </w:rPr>
        <w:t>预算绩效说明。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根据财政预算管理要求，我单位组织对20</w:t>
      </w:r>
      <w:r>
        <w:rPr>
          <w:rFonts w:hint="eastAsia" w:ascii="微软雅黑" w:hAnsi="微软雅黑" w:eastAsia="微软雅黑" w:cs="微软雅黑"/>
          <w:i w:val="0"/>
          <w:iCs w:val="0"/>
          <w:caps w:val="0"/>
          <w:color w:val="333333"/>
          <w:spacing w:val="0"/>
          <w:sz w:val="24"/>
          <w:szCs w:val="24"/>
          <w:shd w:val="clear" w:fill="FFFFFF"/>
          <w:lang w:val="en-US" w:eastAsia="zh-CN"/>
        </w:rPr>
        <w:t>20</w:t>
      </w:r>
      <w:r>
        <w:rPr>
          <w:rFonts w:hint="eastAsia" w:ascii="微软雅黑" w:hAnsi="微软雅黑" w:eastAsia="微软雅黑" w:cs="微软雅黑"/>
          <w:i w:val="0"/>
          <w:iCs w:val="0"/>
          <w:caps w:val="0"/>
          <w:color w:val="333333"/>
          <w:spacing w:val="0"/>
          <w:sz w:val="24"/>
          <w:szCs w:val="24"/>
          <w:shd w:val="clear" w:fill="FFFFFF"/>
        </w:rPr>
        <w:t>年度一般公共预算项目支出开展了绩效自评工作，我单位无重点绩效评价项目。严控支出，提高财政资金使用效率。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240" w:firstLineChars="1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（七）部分专有名词解释。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1.201（类）04（款）01（项）：指一般公共服务支出中发展改革与事务的行政运行。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2.住房保障支出（类）住房改革支出（款）住房公积金（项）：指按照《住房公积金管理条例》的规定，由单位为职工缴纳的住房公积金。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3.基本支出：指为保障机构正常运转、完成日常工作任务而发生的人员支出和公用支出。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4.项目支出：指在基本支出以外为完成特定行政任务和事业发展目标所发生的支出。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5.“三公”经费：纳入财政预决算管理的“三公”经费是指用财政拨款安排的因公出国（境）费、公务用车购置及运行维护费和公务接待费。其中，因公出国（境）费反映单位因公出国（境）的住宿费、旅费、伙食补助费、杂费、培训费等支出；公务用车购置及运行维护费反映单位公务用车购置费及租用费、燃料费、过路过桥费、保险费、安全奖励费等支出；公务接待费指单位按规定开支的各类公务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p>
    <w:tbl>
      <w:tblPr>
        <w:tblStyle w:val="4"/>
        <w:tblW w:w="891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40"/>
        <w:gridCol w:w="1710"/>
        <w:gridCol w:w="4425"/>
        <w:gridCol w:w="735"/>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tblCellSpacing w:w="0" w:type="dxa"/>
        </w:trPr>
        <w:tc>
          <w:tcPr>
            <w:tcW w:w="1440" w:type="dxa"/>
            <w:tcBorders>
              <w:top w:val="nil"/>
              <w:left w:val="nil"/>
              <w:bottom w:val="nil"/>
              <w:right w:val="nil"/>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附件2</w:t>
            </w:r>
          </w:p>
        </w:tc>
        <w:tc>
          <w:tcPr>
            <w:tcW w:w="1710" w:type="dxa"/>
            <w:tcBorders>
              <w:top w:val="nil"/>
              <w:left w:val="nil"/>
              <w:bottom w:val="nil"/>
              <w:right w:val="nil"/>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160" w:type="dxa"/>
            <w:gridSpan w:val="2"/>
            <w:tcBorders>
              <w:top w:val="nil"/>
              <w:left w:val="nil"/>
              <w:bottom w:val="nil"/>
              <w:right w:val="nil"/>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600" w:type="dxa"/>
            <w:tcBorders>
              <w:top w:val="nil"/>
              <w:left w:val="nil"/>
              <w:bottom w:val="nil"/>
              <w:right w:val="nil"/>
            </w:tcBorders>
            <w:shd w:val="clear" w:color="auto" w:fill="FFFFFF"/>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blCellSpacing w:w="0" w:type="dxa"/>
        </w:trPr>
        <w:tc>
          <w:tcPr>
            <w:tcW w:w="8910" w:type="dxa"/>
            <w:gridSpan w:val="5"/>
            <w:tcBorders>
              <w:top w:val="nil"/>
              <w:left w:val="nil"/>
              <w:bottom w:val="nil"/>
              <w:right w:val="nil"/>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2020年开阳县XX单位预算公开情况自查表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0" w:type="dxa"/>
        </w:trPr>
        <w:tc>
          <w:tcPr>
            <w:tcW w:w="757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自查内容</w:t>
            </w:r>
          </w:p>
        </w:tc>
        <w:tc>
          <w:tcPr>
            <w:tcW w:w="1335" w:type="dxa"/>
            <w:gridSpan w:val="2"/>
            <w:tcBorders>
              <w:top w:val="single" w:color="auto" w:sz="6" w:space="0"/>
              <w:left w:val="single" w:color="auto" w:sz="2"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0" w:type="dxa"/>
        </w:trPr>
        <w:tc>
          <w:tcPr>
            <w:tcW w:w="1440" w:type="dxa"/>
            <w:vMerge w:val="restart"/>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内容完整性    </w:t>
            </w:r>
          </w:p>
        </w:tc>
        <w:tc>
          <w:tcPr>
            <w:tcW w:w="1710" w:type="dxa"/>
            <w:vMerge w:val="restart"/>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报表</w:t>
            </w:r>
          </w:p>
        </w:tc>
        <w:tc>
          <w:tcPr>
            <w:tcW w:w="4425" w:type="dxa"/>
            <w:tcBorders>
              <w:top w:val="single" w:color="auto" w:sz="6" w:space="0"/>
              <w:left w:val="single" w:color="auto" w:sz="2"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部门收支总体情况表</w:t>
            </w:r>
          </w:p>
        </w:tc>
        <w:tc>
          <w:tcPr>
            <w:tcW w:w="1335" w:type="dxa"/>
            <w:gridSpan w:val="2"/>
            <w:tcBorders>
              <w:top w:val="single" w:color="auto" w:sz="6" w:space="0"/>
              <w:left w:val="single" w:color="auto" w:sz="2" w:space="0"/>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部门收入总体情况表</w:t>
            </w:r>
          </w:p>
        </w:tc>
        <w:tc>
          <w:tcPr>
            <w:tcW w:w="1335" w:type="dxa"/>
            <w:gridSpan w:val="2"/>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部门支出总体情况表</w:t>
            </w:r>
          </w:p>
        </w:tc>
        <w:tc>
          <w:tcPr>
            <w:tcW w:w="1335" w:type="dxa"/>
            <w:gridSpan w:val="2"/>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财政拨款收支总体情况表</w:t>
            </w:r>
          </w:p>
        </w:tc>
        <w:tc>
          <w:tcPr>
            <w:tcW w:w="1335" w:type="dxa"/>
            <w:gridSpan w:val="2"/>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一般公共预算支出情况表</w:t>
            </w:r>
          </w:p>
        </w:tc>
        <w:tc>
          <w:tcPr>
            <w:tcW w:w="1335" w:type="dxa"/>
            <w:gridSpan w:val="2"/>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一般公共预算基本支出情况表</w:t>
            </w:r>
          </w:p>
        </w:tc>
        <w:tc>
          <w:tcPr>
            <w:tcW w:w="1335" w:type="dxa"/>
            <w:gridSpan w:val="2"/>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一般公共预算“三公”经费支出情况表</w:t>
            </w:r>
          </w:p>
        </w:tc>
        <w:tc>
          <w:tcPr>
            <w:tcW w:w="1335" w:type="dxa"/>
            <w:gridSpan w:val="2"/>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政府性基金预算支出情况表</w:t>
            </w:r>
          </w:p>
        </w:tc>
        <w:tc>
          <w:tcPr>
            <w:tcW w:w="1335" w:type="dxa"/>
            <w:gridSpan w:val="2"/>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restart"/>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说明内容</w:t>
            </w: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部门主要职责及机构设置情况</w:t>
            </w:r>
          </w:p>
        </w:tc>
        <w:tc>
          <w:tcPr>
            <w:tcW w:w="1335"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包括本级预算和所属单位预算在内的汇总预算</w:t>
            </w:r>
          </w:p>
        </w:tc>
        <w:tc>
          <w:tcPr>
            <w:tcW w:w="1335"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部门收支增减变化情况说明</w:t>
            </w:r>
          </w:p>
        </w:tc>
        <w:tc>
          <w:tcPr>
            <w:tcW w:w="1335"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财政拨款收支增减变化情况说明</w:t>
            </w:r>
          </w:p>
        </w:tc>
        <w:tc>
          <w:tcPr>
            <w:tcW w:w="1335"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机关运行经费安排情况说明</w:t>
            </w:r>
          </w:p>
        </w:tc>
        <w:tc>
          <w:tcPr>
            <w:tcW w:w="1335"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政府采购安排情况说明</w:t>
            </w:r>
          </w:p>
        </w:tc>
        <w:tc>
          <w:tcPr>
            <w:tcW w:w="1335"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部门预算绩效情况</w:t>
            </w:r>
          </w:p>
        </w:tc>
        <w:tc>
          <w:tcPr>
            <w:tcW w:w="1335"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国有资产占有情况说明</w:t>
            </w:r>
          </w:p>
        </w:tc>
        <w:tc>
          <w:tcPr>
            <w:tcW w:w="1335"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专业性较强的名词进行解释</w:t>
            </w:r>
          </w:p>
        </w:tc>
        <w:tc>
          <w:tcPr>
            <w:tcW w:w="1335"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0" w:type="dxa"/>
        </w:trPr>
        <w:tc>
          <w:tcPr>
            <w:tcW w:w="1440" w:type="dxa"/>
            <w:vMerge w:val="restart"/>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细化程度      </w:t>
            </w:r>
          </w:p>
        </w:tc>
        <w:tc>
          <w:tcPr>
            <w:tcW w:w="6135"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一般公共预算支出情况表公开到功能分类项级科目</w:t>
            </w:r>
          </w:p>
        </w:tc>
        <w:tc>
          <w:tcPr>
            <w:tcW w:w="1335" w:type="dxa"/>
            <w:gridSpan w:val="2"/>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6135"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一般公共预算基本支出表公开到经济性质分类款级科目</w:t>
            </w:r>
          </w:p>
        </w:tc>
        <w:tc>
          <w:tcPr>
            <w:tcW w:w="1335" w:type="dxa"/>
            <w:gridSpan w:val="2"/>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restart"/>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一般公共预算“三公”经费</w:t>
            </w: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“三公”经费增减变化原因等说明信息</w:t>
            </w:r>
          </w:p>
        </w:tc>
        <w:tc>
          <w:tcPr>
            <w:tcW w:w="1335" w:type="dxa"/>
            <w:gridSpan w:val="2"/>
            <w:tcBorders>
              <w:top w:val="single" w:color="auto" w:sz="6" w:space="0"/>
              <w:left w:val="single" w:color="auto" w:sz="2" w:space="0"/>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“三公”经费支出表按“因公出国（境）费”、“公务用车购置及运行费”、“公务接待费”公开</w:t>
            </w:r>
          </w:p>
        </w:tc>
        <w:tc>
          <w:tcPr>
            <w:tcW w:w="1335" w:type="dxa"/>
            <w:gridSpan w:val="2"/>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0" w:type="dxa"/>
        </w:trPr>
        <w:tc>
          <w:tcPr>
            <w:tcW w:w="1440" w:type="dxa"/>
            <w:vMerge w:val="continue"/>
            <w:tcBorders>
              <w:top w:val="nil"/>
              <w:left w:val="single" w:color="auto" w:sz="6" w:space="0"/>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1710" w:type="dxa"/>
            <w:vMerge w:val="continue"/>
            <w:tcBorders>
              <w:top w:val="nil"/>
              <w:left w:val="nil"/>
              <w:bottom w:val="single" w:color="auto" w:sz="6" w:space="0"/>
              <w:right w:val="single" w:color="auto" w:sz="6" w:space="0"/>
            </w:tcBorders>
            <w:shd w:val="clear" w:color="auto" w:fill="FFFFFF"/>
            <w:vAlign w:val="center"/>
          </w:tcPr>
          <w:p>
            <w:pPr>
              <w:jc w:val="left"/>
              <w:rPr>
                <w:rFonts w:hint="eastAsia" w:ascii="微软雅黑" w:hAnsi="微软雅黑" w:eastAsia="微软雅黑" w:cs="微软雅黑"/>
                <w:i w:val="0"/>
                <w:iCs w:val="0"/>
                <w:caps w:val="0"/>
                <w:color w:val="333333"/>
                <w:spacing w:val="0"/>
                <w:sz w:val="24"/>
                <w:szCs w:val="24"/>
              </w:rPr>
            </w:pPr>
          </w:p>
        </w:tc>
        <w:tc>
          <w:tcPr>
            <w:tcW w:w="4425" w:type="dxa"/>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“公务用车购置和运行费”细化到“公务用车购置费”和“公务用车运行费”公开</w:t>
            </w:r>
          </w:p>
        </w:tc>
        <w:tc>
          <w:tcPr>
            <w:tcW w:w="1335" w:type="dxa"/>
            <w:gridSpan w:val="2"/>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0" w:type="dxa"/>
        </w:trPr>
        <w:tc>
          <w:tcPr>
            <w:tcW w:w="1440"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公开方式      </w:t>
            </w:r>
          </w:p>
        </w:tc>
        <w:tc>
          <w:tcPr>
            <w:tcW w:w="6135" w:type="dxa"/>
            <w:gridSpan w:val="2"/>
            <w:tcBorders>
              <w:top w:val="nil"/>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有门户网站的，在本级政府或财政部门门户网站公开。</w:t>
            </w:r>
          </w:p>
        </w:tc>
        <w:tc>
          <w:tcPr>
            <w:tcW w:w="1335" w:type="dxa"/>
            <w:gridSpan w:val="2"/>
            <w:tcBorders>
              <w:top w:val="nil"/>
              <w:left w:val="nil"/>
              <w:bottom w:val="single" w:color="auto" w:sz="6" w:space="0"/>
              <w:right w:val="single" w:color="auto" w:sz="6" w:space="0"/>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blCellSpacing w:w="0" w:type="dxa"/>
        </w:trPr>
        <w:tc>
          <w:tcPr>
            <w:tcW w:w="8910" w:type="dxa"/>
            <w:gridSpan w:val="5"/>
            <w:tcBorders>
              <w:top w:val="nil"/>
              <w:left w:val="nil"/>
              <w:bottom w:val="nil"/>
              <w:right w:val="nil"/>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注：本表要素为必须公开项，请各部门对照本表认真自查公开要素是否齐全(本表供各部门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blCellSpacing w:w="0" w:type="dxa"/>
        </w:trPr>
        <w:tc>
          <w:tcPr>
            <w:tcW w:w="8910" w:type="dxa"/>
            <w:gridSpan w:val="5"/>
            <w:tcBorders>
              <w:top w:val="nil"/>
              <w:left w:val="nil"/>
              <w:bottom w:val="nil"/>
              <w:right w:val="nil"/>
            </w:tcBorders>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自查使用，不需公开）。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B0261"/>
    <w:multiLevelType w:val="singleLevel"/>
    <w:tmpl w:val="E24B026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D305F"/>
    <w:rsid w:val="15F0031D"/>
    <w:rsid w:val="18433C06"/>
    <w:rsid w:val="1B6470F0"/>
    <w:rsid w:val="2BCD440C"/>
    <w:rsid w:val="35AD6762"/>
    <w:rsid w:val="3BC96550"/>
    <w:rsid w:val="425D305F"/>
    <w:rsid w:val="5F7C6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2021-06-08T07:03:00Z</dcterms:created>
  <dc:creator>Administrator</dc:creator>
  <cp:lastModifiedBy>Administrator</cp:lastModifiedBy>
  <dcterms:modified xsi:type="dcterms:W3CDTF">2021-06-10T06:05:59Z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9FAA491B073C4D4DAE3DF9BEF58E07BB</vt:lpwstr>
  </property>
</Properties>
</file>