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200" w:lineRule="exact"/>
        <w:jc w:val="center"/>
        <w:textAlignment w:val="auto"/>
        <w:rPr>
          <w:rFonts w:asciiTheme="majorEastAsia" w:hAnsiTheme="majorEastAsia" w:eastAsiaTheme="majorEastAsia"/>
          <w:sz w:val="44"/>
          <w:szCs w:val="44"/>
          <w:highlight w:val="none"/>
        </w:rPr>
      </w:pPr>
    </w:p>
    <w:p>
      <w:pPr>
        <w:spacing w:line="500" w:lineRule="exact"/>
        <w:jc w:val="center"/>
        <w:rPr>
          <w:rFonts w:ascii="仿宋_GB2312" w:hAnsi="Arial Narrow" w:eastAsia="仿宋_GB2312"/>
          <w:sz w:val="32"/>
          <w:szCs w:val="32"/>
          <w:highlight w:val="none"/>
        </w:rPr>
      </w:pPr>
      <w:r>
        <w:rPr>
          <w:rFonts w:hint="eastAsia" w:ascii="仿宋_GB2312" w:hAnsi="Arial Narrow" w:eastAsia="仿宋_GB2312"/>
          <w:sz w:val="32"/>
          <w:szCs w:val="32"/>
          <w:highlight w:val="none"/>
        </w:rPr>
        <w:t>开农发〔20</w:t>
      </w:r>
      <w:r>
        <w:rPr>
          <w:rFonts w:hint="eastAsia" w:ascii="仿宋_GB2312" w:hAnsi="Arial Narrow" w:eastAsia="仿宋_GB2312"/>
          <w:sz w:val="32"/>
          <w:szCs w:val="32"/>
          <w:highlight w:val="none"/>
          <w:lang w:val="en-US" w:eastAsia="zh-CN"/>
        </w:rPr>
        <w:t>21</w:t>
      </w:r>
      <w:r>
        <w:rPr>
          <w:rFonts w:hint="eastAsia" w:ascii="仿宋_GB2312" w:hAnsi="Arial Narrow" w:eastAsia="仿宋_GB2312"/>
          <w:sz w:val="32"/>
          <w:szCs w:val="32"/>
          <w:highlight w:val="none"/>
        </w:rPr>
        <w:t>〕</w:t>
      </w:r>
      <w:r>
        <w:rPr>
          <w:rFonts w:hint="eastAsia" w:ascii="仿宋_GB2312" w:hAnsi="Arial Narrow" w:eastAsia="仿宋_GB2312"/>
          <w:sz w:val="32"/>
          <w:szCs w:val="32"/>
          <w:highlight w:val="none"/>
          <w:lang w:val="en-US" w:eastAsia="zh-CN"/>
        </w:rPr>
        <w:t>10</w:t>
      </w:r>
      <w:r>
        <w:rPr>
          <w:rFonts w:hint="eastAsia" w:ascii="仿宋_GB2312" w:hAnsi="Arial Narrow" w:eastAsia="仿宋_GB2312"/>
          <w:sz w:val="32"/>
          <w:szCs w:val="32"/>
          <w:highlight w:val="none"/>
        </w:rPr>
        <w:t>号</w:t>
      </w:r>
    </w:p>
    <w:p>
      <w:pPr>
        <w:pStyle w:val="2"/>
        <w:keepNext w:val="0"/>
        <w:keepLines w:val="0"/>
        <w:pageBreakBefore w:val="0"/>
        <w:widowControl w:val="0"/>
        <w:kinsoku/>
        <w:wordWrap/>
        <w:overflowPunct/>
        <w:topLinePunct w:val="0"/>
        <w:autoSpaceDE/>
        <w:autoSpaceDN/>
        <w:bidi w:val="0"/>
        <w:adjustRightInd/>
        <w:snapToGrid/>
        <w:spacing w:line="900" w:lineRule="exact"/>
        <w:textAlignment w:val="auto"/>
        <w:outlineLvl w:val="9"/>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rPr>
        <w:t>开阳县</w:t>
      </w:r>
      <w:r>
        <w:rPr>
          <w:rFonts w:hint="eastAsia" w:ascii="方正小标宋简体" w:hAnsi="方正小标宋简体" w:eastAsia="方正小标宋简体" w:cs="方正小标宋简体"/>
          <w:sz w:val="44"/>
          <w:szCs w:val="52"/>
          <w:lang w:val="en-US" w:eastAsia="zh-CN"/>
        </w:rPr>
        <w:t>农业农村局关于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val="en-US" w:eastAsia="zh-CN"/>
        </w:rPr>
        <w:t>印发《开阳县农业农村局关于落实</w:t>
      </w:r>
      <w:r>
        <w:rPr>
          <w:rFonts w:hint="eastAsia" w:ascii="方正小标宋简体" w:hAnsi="方正小标宋简体" w:eastAsia="方正小标宋简体" w:cs="方正小标宋简体"/>
          <w:sz w:val="44"/>
          <w:szCs w:val="52"/>
        </w:rPr>
        <w:t>2021年农业农村领域生态环境问题整治</w:t>
      </w:r>
      <w:r>
        <w:rPr>
          <w:rFonts w:hint="eastAsia" w:ascii="方正小标宋简体" w:hAnsi="方正小标宋简体" w:eastAsia="方正小标宋简体" w:cs="方正小标宋简体"/>
          <w:sz w:val="44"/>
          <w:szCs w:val="52"/>
          <w:lang w:val="en-US" w:eastAsia="zh-CN"/>
        </w:rPr>
        <w:t>的</w:t>
      </w:r>
      <w:r>
        <w:rPr>
          <w:rFonts w:hint="eastAsia" w:ascii="方正小标宋简体" w:hAnsi="方正小标宋简体" w:eastAsia="方正小标宋简体" w:cs="方正小标宋简体"/>
          <w:sz w:val="44"/>
          <w:szCs w:val="52"/>
        </w:rPr>
        <w:t>工作方案</w:t>
      </w:r>
      <w:r>
        <w:rPr>
          <w:rFonts w:hint="eastAsia" w:ascii="方正小标宋简体" w:hAnsi="方正小标宋简体" w:eastAsia="方正小标宋简体" w:cs="方正小标宋简体"/>
          <w:sz w:val="44"/>
          <w:szCs w:val="5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52"/>
          <w:lang w:val="en-US"/>
        </w:rPr>
      </w:pPr>
      <w:r>
        <w:rPr>
          <w:rFonts w:hint="eastAsia" w:ascii="方正小标宋简体" w:hAnsi="方正小标宋简体" w:eastAsia="方正小标宋简体" w:cs="方正小标宋简体"/>
          <w:sz w:val="44"/>
          <w:szCs w:val="52"/>
          <w:lang w:val="en-US" w:eastAsia="zh-CN"/>
        </w:rPr>
        <w:t>的通知</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小标宋简体" w:hAnsi="方正小标宋简体" w:eastAsia="方正小标宋简体" w:cs="方正小标宋简体"/>
          <w:sz w:val="44"/>
          <w:szCs w:val="52"/>
        </w:rPr>
      </w:pP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color w:val="auto"/>
          <w:kern w:val="2"/>
          <w:sz w:val="32"/>
          <w:szCs w:val="40"/>
          <w:lang w:val="en-US" w:eastAsia="zh-CN" w:bidi="ar-SA"/>
        </w:rPr>
      </w:pPr>
      <w:r>
        <w:rPr>
          <w:rFonts w:hint="eastAsia" w:ascii="仿宋_GB2312" w:hAnsi="仿宋_GB2312" w:eastAsia="仿宋_GB2312" w:cs="仿宋_GB2312"/>
          <w:color w:val="auto"/>
          <w:kern w:val="2"/>
          <w:sz w:val="32"/>
          <w:szCs w:val="40"/>
          <w:lang w:val="en-US" w:eastAsia="zh-CN" w:bidi="ar-SA"/>
        </w:rPr>
        <w:t>各乡镇（街道）农业服务中心、局属相关科室：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kern w:val="2"/>
          <w:sz w:val="32"/>
          <w:szCs w:val="40"/>
          <w:lang w:val="en-US" w:eastAsia="zh-CN" w:bidi="ar-SA"/>
        </w:rPr>
      </w:pPr>
      <w:r>
        <w:rPr>
          <w:rFonts w:hint="eastAsia" w:ascii="仿宋_GB2312" w:hAnsi="仿宋_GB2312" w:eastAsia="仿宋_GB2312" w:cs="仿宋_GB2312"/>
          <w:color w:val="auto"/>
          <w:kern w:val="2"/>
          <w:sz w:val="32"/>
          <w:szCs w:val="40"/>
          <w:lang w:val="en-US" w:eastAsia="zh-CN" w:bidi="ar-SA"/>
        </w:rPr>
        <w:t>为确保2021年农业农村领域生态环境突出问题整治工作有效推进，结合我局实际，制定了《开阳县农业农村局关于落实2021年农业农村领域生态环境突出问题整治的工作方案》，现将方案印发给你们，请遵照执行。</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kern w:val="2"/>
          <w:sz w:val="32"/>
          <w:szCs w:val="40"/>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40" w:lineRule="exact"/>
        <w:ind w:firstLine="1280" w:firstLineChars="400"/>
        <w:textAlignment w:val="auto"/>
        <w:rPr>
          <w:rFonts w:hint="eastAsia" w:ascii="仿宋_GB2312" w:hAnsi="仿宋_GB2312" w:eastAsia="仿宋_GB2312" w:cs="仿宋_GB2312"/>
          <w:color w:val="auto"/>
          <w:kern w:val="2"/>
          <w:sz w:val="32"/>
          <w:szCs w:val="40"/>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40" w:lineRule="exact"/>
        <w:ind w:right="1283" w:rightChars="611" w:firstLine="5120" w:firstLineChars="1600"/>
        <w:textAlignment w:val="auto"/>
        <w:rPr>
          <w:rFonts w:hint="eastAsia" w:ascii="方正小标宋简体" w:hAnsi="方正小标宋简体" w:eastAsia="方正小标宋简体" w:cs="方正小标宋简体"/>
          <w:sz w:val="44"/>
          <w:szCs w:val="52"/>
        </w:rPr>
      </w:pPr>
      <w:r>
        <w:rPr>
          <w:rFonts w:hint="eastAsia" w:ascii="仿宋_GB2312" w:hAnsi="仿宋_GB2312" w:eastAsia="仿宋_GB2312" w:cs="仿宋_GB2312"/>
          <w:color w:val="auto"/>
          <w:kern w:val="2"/>
          <w:sz w:val="32"/>
          <w:szCs w:val="40"/>
          <w:lang w:val="en-US" w:eastAsia="zh-CN" w:bidi="ar-SA"/>
        </w:rPr>
        <w:t>2021年3月12日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开阳县</w:t>
      </w:r>
      <w:r>
        <w:rPr>
          <w:rFonts w:hint="eastAsia" w:ascii="方正小标宋简体" w:hAnsi="方正小标宋简体" w:eastAsia="方正小标宋简体" w:cs="方正小标宋简体"/>
          <w:sz w:val="44"/>
          <w:szCs w:val="52"/>
          <w:lang w:val="en-US" w:eastAsia="zh-CN"/>
        </w:rPr>
        <w:t>农业农村局关于落实</w:t>
      </w:r>
      <w:r>
        <w:rPr>
          <w:rFonts w:hint="eastAsia" w:ascii="方正小标宋简体" w:hAnsi="方正小标宋简体" w:eastAsia="方正小标宋简体" w:cs="方正小标宋简体"/>
          <w:sz w:val="44"/>
          <w:szCs w:val="52"/>
        </w:rPr>
        <w:t>2021年农业农村领域生态环境</w:t>
      </w:r>
      <w:r>
        <w:rPr>
          <w:rFonts w:hint="eastAsia" w:ascii="方正小标宋简体" w:hAnsi="方正小标宋简体" w:eastAsia="方正小标宋简体" w:cs="方正小标宋简体"/>
          <w:sz w:val="44"/>
          <w:szCs w:val="52"/>
          <w:lang w:val="en-US" w:eastAsia="zh-CN"/>
        </w:rPr>
        <w:t>突出</w:t>
      </w:r>
      <w:r>
        <w:rPr>
          <w:rFonts w:hint="eastAsia" w:ascii="方正小标宋简体" w:hAnsi="方正小标宋简体" w:eastAsia="方正小标宋简体" w:cs="方正小标宋简体"/>
          <w:sz w:val="44"/>
          <w:szCs w:val="52"/>
        </w:rPr>
        <w:t>问题整治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lang w:val="en-US" w:eastAsia="zh-CN"/>
        </w:rPr>
        <w:t>的</w:t>
      </w:r>
      <w:r>
        <w:rPr>
          <w:rFonts w:hint="eastAsia" w:ascii="方正小标宋简体" w:hAnsi="方正小标宋简体" w:eastAsia="方正小标宋简体" w:cs="方正小标宋简体"/>
          <w:sz w:val="44"/>
          <w:szCs w:val="52"/>
        </w:rPr>
        <w:t>工作方案</w:t>
      </w:r>
    </w:p>
    <w:p>
      <w:pPr>
        <w:pStyle w:val="2"/>
        <w:ind w:left="0" w:leftChars="0" w:firstLine="0" w:firstLineChars="0"/>
        <w:rPr>
          <w:rFonts w:hint="eastAsia" w:ascii="仿宋_GB2312" w:hAnsi="仿宋_GB2312" w:eastAsia="仿宋_GB2312" w:cs="仿宋_GB2312"/>
          <w:color w:val="auto"/>
          <w:kern w:val="2"/>
          <w:sz w:val="32"/>
          <w:szCs w:val="40"/>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根据各级各有关部门关于抓好2021年生态环境突出整治问题工作会议和文件要求，结合中央生态环境保护督察整改问题和2020年长江流域经济带生态环境警示片曝光问题经验教训，为切实解决和推动农业农村领域生态环境问题整治，结合我局工作实际，特制定本方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一、主要工作任务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_GB2312" w:hAnsi="楷体_GB2312" w:eastAsia="楷体_GB2312" w:cs="楷体_GB2312"/>
          <w:sz w:val="32"/>
          <w:szCs w:val="40"/>
          <w:lang w:val="en-US" w:eastAsia="zh-CN"/>
        </w:rPr>
      </w:pPr>
      <w:r>
        <w:rPr>
          <w:rFonts w:hint="eastAsia" w:ascii="楷体_GB2312" w:hAnsi="楷体_GB2312" w:eastAsia="楷体_GB2312" w:cs="楷体_GB2312"/>
          <w:sz w:val="32"/>
          <w:szCs w:val="40"/>
          <w:lang w:val="en-US" w:eastAsia="zh-CN"/>
        </w:rPr>
        <w:t>（一）畜禽养殖污染问题整治。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进一步完善畜禽养殖场雨污分流系统和初期雨水收集措施，规范处置畜禽养殖氛围，加强事故应急池的管理，确保事故应急在正常情况下空置备用。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_GB2312" w:hAnsi="楷体_GB2312" w:eastAsia="楷体_GB2312" w:cs="楷体_GB2312"/>
          <w:sz w:val="32"/>
          <w:szCs w:val="40"/>
          <w:lang w:val="en-US" w:eastAsia="zh-CN"/>
        </w:rPr>
      </w:pPr>
      <w:r>
        <w:rPr>
          <w:rFonts w:hint="eastAsia" w:ascii="楷体_GB2312" w:hAnsi="楷体_GB2312" w:eastAsia="楷体_GB2312" w:cs="楷体_GB2312"/>
          <w:sz w:val="32"/>
          <w:szCs w:val="40"/>
          <w:lang w:val="en-US" w:eastAsia="zh-CN"/>
        </w:rPr>
        <w:t>（二）饮用水源保护区、农村生活污水收集处理设施不完善、运行不正常等问题整治。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完善建设翁井水库大寨片区、粮库片区生活污水的收集处理设施，百安河水库引用水源保护区居民生活污水收集处理设施，台子田水库一级保护区居民生活污水收集处理设施，确保饮用水源地保护区农村生活污水得到有效收集处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楷体_GB2312" w:hAnsi="楷体_GB2312" w:eastAsia="楷体_GB2312" w:cs="楷体_GB2312"/>
          <w:sz w:val="32"/>
          <w:szCs w:val="40"/>
          <w:lang w:val="en-US" w:eastAsia="zh-CN"/>
        </w:rPr>
      </w:pPr>
      <w:r>
        <w:rPr>
          <w:rFonts w:hint="eastAsia" w:ascii="楷体_GB2312" w:hAnsi="楷体_GB2312" w:eastAsia="楷体_GB2312" w:cs="楷体_GB2312"/>
          <w:sz w:val="32"/>
          <w:szCs w:val="40"/>
          <w:lang w:val="en-US" w:eastAsia="zh-CN"/>
        </w:rPr>
        <w:t>（三）农村生活污水收集不完善，进水量小且浓度低、设施运行不正常、无专业管理人员等生态环境问题整治。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加大农村生活污水处理设施的运行管理，完善农村生活污水收集系统，确保南工程生活污水清污分流，污水应收尽收，对已建成的污水处理设施加大管控力度，确保生活污水处理设施正常运行。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二、主要工作措施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40"/>
          <w:lang w:val="en-US" w:eastAsia="zh-CN"/>
        </w:rPr>
      </w:pPr>
      <w:r>
        <w:rPr>
          <w:rFonts w:hint="eastAsia" w:ascii="楷体_GB2312" w:hAnsi="楷体_GB2312" w:eastAsia="楷体_GB2312" w:cs="楷体_GB2312"/>
          <w:sz w:val="32"/>
          <w:szCs w:val="40"/>
          <w:lang w:val="en-US" w:eastAsia="zh-CN"/>
        </w:rPr>
        <w:t>（一）强化组织领导。</w:t>
      </w:r>
      <w:r>
        <w:rPr>
          <w:rFonts w:hint="eastAsia" w:ascii="仿宋_GB2312" w:hAnsi="仿宋_GB2312" w:eastAsia="仿宋_GB2312" w:cs="仿宋_GB2312"/>
          <w:sz w:val="32"/>
          <w:szCs w:val="40"/>
          <w:lang w:val="en-US" w:eastAsia="zh-CN"/>
        </w:rPr>
        <w:t>成立以主要负责同志为组长的开阳县农业农村局2021年农业农村领域生态环境问题整治工作领导小组，统筹推进各项工作开展。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组  长：饶祖泽（县农业农村局党委书记、局长）</w:t>
      </w:r>
    </w:p>
    <w:p>
      <w:pPr>
        <w:keepNext w:val="0"/>
        <w:keepLines w:val="0"/>
        <w:pageBreakBefore w:val="0"/>
        <w:widowControl w:val="0"/>
        <w:kinsoku/>
        <w:wordWrap/>
        <w:overflowPunct/>
        <w:topLinePunct w:val="0"/>
        <w:autoSpaceDE/>
        <w:autoSpaceDN/>
        <w:bidi w:val="0"/>
        <w:adjustRightInd/>
        <w:snapToGrid/>
        <w:spacing w:line="560" w:lineRule="exact"/>
        <w:ind w:left="3198" w:leftChars="304" w:hanging="2560" w:hangingChars="8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副组长：吴  洪（县农业农村局副局长，县高效农业园区办主任）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洪世洋（县农业农村局副局长）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左康扬（县农业农村局副局长）</w:t>
      </w:r>
    </w:p>
    <w:p>
      <w:pPr>
        <w:keepNext w:val="0"/>
        <w:keepLines w:val="0"/>
        <w:pageBreakBefore w:val="0"/>
        <w:widowControl w:val="0"/>
        <w:kinsoku/>
        <w:wordWrap/>
        <w:overflowPunct/>
        <w:topLinePunct w:val="0"/>
        <w:autoSpaceDE/>
        <w:autoSpaceDN/>
        <w:bidi w:val="0"/>
        <w:adjustRightInd/>
        <w:snapToGrid/>
        <w:spacing w:line="560" w:lineRule="exact"/>
        <w:ind w:left="3211" w:leftChars="912" w:hanging="1296" w:hangingChars="405"/>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杨锡勇（县农业农村局党委委员、县扶贫开发                   中心主任）</w:t>
      </w:r>
    </w:p>
    <w:p>
      <w:pPr>
        <w:keepNext w:val="0"/>
        <w:keepLines w:val="0"/>
        <w:pageBreakBefore w:val="0"/>
        <w:widowControl w:val="0"/>
        <w:kinsoku/>
        <w:wordWrap/>
        <w:overflowPunct/>
        <w:topLinePunct w:val="0"/>
        <w:autoSpaceDE/>
        <w:autoSpaceDN/>
        <w:bidi w:val="0"/>
        <w:adjustRightInd/>
        <w:snapToGrid/>
        <w:spacing w:line="560" w:lineRule="exact"/>
        <w:ind w:left="3198" w:leftChars="304" w:hanging="2560" w:hangingChars="8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钱正明（县农业农村党委委员、县农业综合执法大队队长）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成  员：盛  利（县农机中心主任）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付  羽（县茶产业服务中心主任）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杨世权（县屠宰监察执法队队长）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郑  宇（县农广校校长）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兰代河（县高效农业园区办副主任）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张  健（县生态移民办副主任）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王景俊（县畜牧中心主任）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张明勇（县扶贫开发中心副主任）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冉  浴（县茶产业服务中心副主任）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局属相关科室负责人。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为切实推动各项问题整改落实，结合我局工作实际组建畜禽养殖污染问题整治工作组和饮用水源及农村生活污水问题整治工作组2个工作组，具体抓好各项问题整改落实。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1.畜禽养殖污染问题整治工作组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组  长：吴  洪</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副组长：王景俊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成  员：胡远洲、罗  晓、陈仁凯、周文菊、苏怀麟、吴光松、王安利、冯永华、涉及乡镇农业中心相关负责人。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2.饮用水源及农村生活污水问题整治工作组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组  长：钱正明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成  员：方成益、朱德江、孙文友、杨  恒、刘小飞、赵  林、涉及乡镇农业中心相关负责人。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sz w:val="32"/>
          <w:szCs w:val="40"/>
          <w:lang w:val="en-US" w:eastAsia="zh-CN"/>
        </w:rPr>
      </w:pPr>
      <w:r>
        <w:rPr>
          <w:rFonts w:hint="eastAsia" w:ascii="楷体_GB2312" w:hAnsi="楷体_GB2312" w:eastAsia="楷体_GB2312" w:cs="楷体_GB2312"/>
          <w:sz w:val="32"/>
          <w:szCs w:val="40"/>
          <w:lang w:val="en-US" w:eastAsia="zh-CN"/>
        </w:rPr>
        <w:t>（二）强化责任落实。</w:t>
      </w:r>
      <w:r>
        <w:rPr>
          <w:rFonts w:hint="eastAsia" w:ascii="仿宋_GB2312" w:hAnsi="仿宋_GB2312" w:eastAsia="仿宋_GB2312" w:cs="仿宋_GB2312"/>
          <w:sz w:val="32"/>
          <w:szCs w:val="40"/>
          <w:lang w:val="en-US" w:eastAsia="zh-CN"/>
        </w:rPr>
        <w:t>建立领导包保责任制，实行一个领导班子认领一个整改问题，各专项问题整改工作组要切实加大工作督促指导力度，制定问题整治工作方案，细化目标责任，明确责任单位和责任人，确保各项工作有效开展。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三、主要工作要求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1.严格落实领导包保责任制度，建立领导班子责任分解表，各包保责任领导要走下去，深入实地督促指导整改责任，实行一周一调度，确保包保单位严格按照相关要求落实整改。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2.涉及各块分管领导要全面统筹分管领域突出问题整治工作，要求实地查看调度全覆盖，并及时收集各包保领导检查情况。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3.两个工作组要牵头抓好问题整改督促指导力度，明确专人负责人，制定工作计划，具体统筹涉及领域问题整治工作开展，建立合理的工作调度机制和工作台账，督促指导各问题整改单位严格按照一事一方案，一事一台账要求规范整改资料收集归档，同时要及时收集汇总各项工作资料，按要求报送县整治专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jc w:val="both"/>
        <w:textAlignment w:val="auto"/>
        <w:rPr>
          <w:rFonts w:hint="eastAsia" w:ascii="仿宋_GB2312" w:hAnsi="仿宋_GB2312" w:eastAsia="仿宋_GB2312" w:cs="仿宋_GB2312"/>
          <w:sz w:val="32"/>
          <w:szCs w:val="40"/>
          <w:lang w:val="en-US" w:eastAsia="zh-CN"/>
        </w:rPr>
        <w:sectPr>
          <w:footerReference r:id="rId3" w:type="default"/>
          <w:pgSz w:w="11906" w:h="16838"/>
          <w:pgMar w:top="2098" w:right="1474" w:bottom="1984" w:left="1587" w:header="851" w:footer="992" w:gutter="0"/>
          <w:pgNumType w:fmt="decimal"/>
          <w:cols w:space="425" w:num="1"/>
          <w:docGrid w:type="lines" w:linePitch="312" w:charSpace="0"/>
        </w:sectPr>
      </w:pPr>
      <w:r>
        <w:rPr>
          <w:rFonts w:hint="eastAsia" w:ascii="仿宋_GB2312" w:hAnsi="仿宋_GB2312" w:eastAsia="仿宋_GB2312" w:cs="仿宋_GB2312"/>
          <w:sz w:val="32"/>
          <w:szCs w:val="40"/>
          <w:lang w:val="en-US" w:eastAsia="zh-CN"/>
        </w:rPr>
        <w:t>附件：开阳县2021年农业农村领域生态环境突出问题整治领导包保责任分解表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40"/>
          <w:lang w:val="en-US" w:eastAsia="zh-CN"/>
        </w:rPr>
      </w:pPr>
      <w:bookmarkStart w:id="0" w:name="_GoBack"/>
      <w:r>
        <w:rPr>
          <w:rFonts w:hint="eastAsia" w:ascii="黑体" w:hAnsi="黑体" w:eastAsia="黑体" w:cs="黑体"/>
          <w:sz w:val="32"/>
          <w:szCs w:val="40"/>
          <w:lang w:val="en-US" w:eastAsia="zh-CN"/>
        </w:rPr>
        <w:t>附件</w:t>
      </w:r>
    </w:p>
    <w:bookmarkEnd w:id="0"/>
    <w:tbl>
      <w:tblPr>
        <w:tblStyle w:val="5"/>
        <w:tblW w:w="13860" w:type="dxa"/>
        <w:tblInd w:w="0" w:type="dxa"/>
        <w:shd w:val="clear" w:color="auto" w:fill="auto"/>
        <w:tblLayout w:type="autofit"/>
        <w:tblCellMar>
          <w:top w:w="0" w:type="dxa"/>
          <w:left w:w="0" w:type="dxa"/>
          <w:bottom w:w="0" w:type="dxa"/>
          <w:right w:w="0" w:type="dxa"/>
        </w:tblCellMar>
      </w:tblPr>
      <w:tblGrid>
        <w:gridCol w:w="426"/>
        <w:gridCol w:w="438"/>
        <w:gridCol w:w="1418"/>
        <w:gridCol w:w="2962"/>
        <w:gridCol w:w="3585"/>
        <w:gridCol w:w="902"/>
        <w:gridCol w:w="946"/>
        <w:gridCol w:w="1743"/>
        <w:gridCol w:w="1440"/>
      </w:tblGrid>
      <w:tr>
        <w:tblPrEx>
          <w:shd w:val="clear" w:color="auto" w:fill="auto"/>
          <w:tblCellMar>
            <w:top w:w="0" w:type="dxa"/>
            <w:left w:w="0" w:type="dxa"/>
            <w:bottom w:w="0" w:type="dxa"/>
            <w:right w:w="0" w:type="dxa"/>
          </w:tblCellMar>
        </w:tblPrEx>
        <w:trPr>
          <w:trHeight w:val="803" w:hRule="atLeast"/>
        </w:trPr>
        <w:tc>
          <w:tcPr>
            <w:tcW w:w="13860"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开阳县2021年农业农村领域生态环境突出问题整治领导包保责任分解表</w:t>
            </w:r>
          </w:p>
        </w:tc>
      </w:tr>
      <w:tr>
        <w:tblPrEx>
          <w:shd w:val="clear" w:color="auto" w:fill="auto"/>
          <w:tblCellMar>
            <w:top w:w="0" w:type="dxa"/>
            <w:left w:w="0" w:type="dxa"/>
            <w:bottom w:w="0" w:type="dxa"/>
            <w:right w:w="0" w:type="dxa"/>
          </w:tblCellMar>
        </w:tblPrEx>
        <w:trPr>
          <w:trHeight w:val="816"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类型</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单位名称</w:t>
            </w:r>
          </w:p>
        </w:tc>
        <w:tc>
          <w:tcPr>
            <w:tcW w:w="2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问题</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整改措施及内容</w:t>
            </w:r>
          </w:p>
        </w:tc>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包保责任领导</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责任单位</w:t>
            </w:r>
          </w:p>
        </w:tc>
        <w:tc>
          <w:tcPr>
            <w:tcW w:w="1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完成时限</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所在乡镇</w:t>
            </w:r>
          </w:p>
        </w:tc>
      </w:tr>
      <w:tr>
        <w:tblPrEx>
          <w:shd w:val="clear" w:color="auto" w:fill="auto"/>
          <w:tblCellMar>
            <w:top w:w="0" w:type="dxa"/>
            <w:left w:w="0" w:type="dxa"/>
            <w:bottom w:w="0" w:type="dxa"/>
            <w:right w:w="0" w:type="dxa"/>
          </w:tblCellMar>
        </w:tblPrEx>
        <w:trPr>
          <w:trHeight w:val="1208"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畜禽粪污</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贵州农友科技开发有限公司</w:t>
            </w:r>
          </w:p>
        </w:tc>
        <w:tc>
          <w:tcPr>
            <w:tcW w:w="2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1.小电坡养殖场雨污分流不完善；                             2.粪污收集处置不规范。</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1.完善养殖区域雨污分流系统；                          2.规范处置养殖粪污。</w:t>
            </w:r>
          </w:p>
        </w:tc>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饶祖泽</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品改站</w:t>
            </w:r>
          </w:p>
        </w:tc>
        <w:tc>
          <w:tcPr>
            <w:tcW w:w="1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2021年6月30日</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金中镇岩脚村</w:t>
            </w:r>
          </w:p>
        </w:tc>
      </w:tr>
      <w:tr>
        <w:tblPrEx>
          <w:shd w:val="clear" w:color="auto" w:fill="auto"/>
          <w:tblCellMar>
            <w:top w:w="0" w:type="dxa"/>
            <w:left w:w="0" w:type="dxa"/>
            <w:bottom w:w="0" w:type="dxa"/>
            <w:right w:w="0" w:type="dxa"/>
          </w:tblCellMar>
        </w:tblPrEx>
        <w:trPr>
          <w:trHeight w:val="2777"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贵州南方乳业有限公司龙岗第二奶牛场</w:t>
            </w:r>
          </w:p>
        </w:tc>
        <w:tc>
          <w:tcPr>
            <w:tcW w:w="2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1.粪污干湿分离、死牛处置（无害化处置）场所无防流失措施；                       2.干粪堆场进、出不规范，粪污及渗滤液收集不完善，进入外环境。</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1.龙岗奶牛场二场建设粪污干湿分离、死牛处置（无害化处理）场所防流失措施，防止粪污和尸体残留物排入外环境；                                   2.完善干粪对场进、出口粪污及渗滤液收集措施，防止粪污及渗滤液进入外环境。</w:t>
            </w:r>
          </w:p>
        </w:tc>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  洪</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品改站</w:t>
            </w:r>
          </w:p>
        </w:tc>
        <w:tc>
          <w:tcPr>
            <w:tcW w:w="1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2021年6月30日</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龙岗镇大金村</w:t>
            </w:r>
          </w:p>
        </w:tc>
      </w:tr>
      <w:tr>
        <w:tblPrEx>
          <w:shd w:val="clear" w:color="auto" w:fill="auto"/>
          <w:tblCellMar>
            <w:top w:w="0" w:type="dxa"/>
            <w:left w:w="0" w:type="dxa"/>
            <w:bottom w:w="0" w:type="dxa"/>
            <w:right w:w="0" w:type="dxa"/>
          </w:tblCellMar>
        </w:tblPrEx>
        <w:trPr>
          <w:trHeight w:val="1208"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开阳县闽信养殖有限公司</w:t>
            </w:r>
          </w:p>
        </w:tc>
        <w:tc>
          <w:tcPr>
            <w:tcW w:w="2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粪污处理去无初期雨水收集处理设施，雨污分流系统不完善。</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建设完善初期雨水收集处理设施等雨污分流系统，确保初期雨水正常收集处理。</w:t>
            </w:r>
          </w:p>
        </w:tc>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洪世洋</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品改站</w:t>
            </w:r>
          </w:p>
        </w:tc>
        <w:tc>
          <w:tcPr>
            <w:tcW w:w="1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2021年6月30日</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龙岗镇立京村</w:t>
            </w:r>
          </w:p>
        </w:tc>
      </w:tr>
      <w:tr>
        <w:tblPrEx>
          <w:shd w:val="clear" w:color="auto" w:fill="auto"/>
          <w:tblCellMar>
            <w:top w:w="0" w:type="dxa"/>
            <w:left w:w="0" w:type="dxa"/>
            <w:bottom w:w="0" w:type="dxa"/>
            <w:right w:w="0" w:type="dxa"/>
          </w:tblCellMar>
        </w:tblPrEx>
        <w:trPr>
          <w:trHeight w:val="1993"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开阳县长生源农业科技有限公司</w:t>
            </w:r>
          </w:p>
        </w:tc>
        <w:tc>
          <w:tcPr>
            <w:tcW w:w="2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1.场区清（雨）污分流系统及初期雨水收集系统不完善，管理不到位；                             2.污水收集池及事故应急池未做防渗处理。</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1.完善厂区清（雨）污分流系统，加强雨水分流系统管理，确保污水、初期雨水全收集；                                2.对污水收集池及事故应急池做防渗处理，杜绝污水渗漏。</w:t>
            </w:r>
          </w:p>
        </w:tc>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左康扬</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品改站</w:t>
            </w:r>
          </w:p>
        </w:tc>
        <w:tc>
          <w:tcPr>
            <w:tcW w:w="1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2021年6月30日</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龙岗镇一村</w:t>
            </w:r>
          </w:p>
        </w:tc>
      </w:tr>
      <w:tr>
        <w:tblPrEx>
          <w:shd w:val="clear" w:color="auto" w:fill="auto"/>
          <w:tblCellMar>
            <w:top w:w="0" w:type="dxa"/>
            <w:left w:w="0" w:type="dxa"/>
            <w:bottom w:w="0" w:type="dxa"/>
            <w:right w:w="0" w:type="dxa"/>
          </w:tblCellMar>
        </w:tblPrEx>
        <w:trPr>
          <w:trHeight w:val="816"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开阳云顶农业开发有限公司</w:t>
            </w:r>
          </w:p>
        </w:tc>
        <w:tc>
          <w:tcPr>
            <w:tcW w:w="2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1.场区雨污分流系统不完善；                       2.事故应急池长期积存粪污，长期未保持控制。</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1.完善发酵工程雨污分流系统，禁止污水排入外环境；                       2.非紧急情况下保持事故应急池空置状态，确保事故状态下正常运行。</w:t>
            </w:r>
          </w:p>
        </w:tc>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盛  利</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品改站</w:t>
            </w:r>
          </w:p>
        </w:tc>
        <w:tc>
          <w:tcPr>
            <w:tcW w:w="1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2021年6月30日</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毛云乡簸箕村</w:t>
            </w:r>
          </w:p>
        </w:tc>
      </w:tr>
      <w:tr>
        <w:tblPrEx>
          <w:shd w:val="clear" w:color="auto" w:fill="auto"/>
          <w:tblCellMar>
            <w:top w:w="0" w:type="dxa"/>
            <w:left w:w="0" w:type="dxa"/>
            <w:bottom w:w="0" w:type="dxa"/>
            <w:right w:w="0" w:type="dxa"/>
          </w:tblCellMar>
        </w:tblPrEx>
        <w:trPr>
          <w:trHeight w:val="238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开阳县南江现代农业科技有限公司</w:t>
            </w:r>
          </w:p>
        </w:tc>
        <w:tc>
          <w:tcPr>
            <w:tcW w:w="2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1.初期雨水收集沟切换阀设置不合理，不能有效收集初期雨水；                 2.有机肥厂内部分顶棚雨水沟未封闭，存在发酵的粪污及渗滤液进入雨水沟情况。</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1.完善初期雨水收集沟切换阀，确保有效收集初期雨水；                  2.封闭有机肥厂内顶棚雨水沟，防止粪污及渗滤液进入雨水沟。</w:t>
            </w:r>
          </w:p>
        </w:tc>
        <w:tc>
          <w:tcPr>
            <w:tcW w:w="902"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王景俊</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品改站</w:t>
            </w:r>
          </w:p>
        </w:tc>
        <w:tc>
          <w:tcPr>
            <w:tcW w:w="1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2021年6月30日</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龙岗镇大鸭村</w:t>
            </w:r>
          </w:p>
        </w:tc>
      </w:tr>
      <w:tr>
        <w:tblPrEx>
          <w:shd w:val="clear" w:color="auto" w:fill="auto"/>
          <w:tblCellMar>
            <w:top w:w="0" w:type="dxa"/>
            <w:left w:w="0" w:type="dxa"/>
            <w:bottom w:w="0" w:type="dxa"/>
            <w:right w:w="0" w:type="dxa"/>
          </w:tblCellMar>
        </w:tblPrEx>
        <w:trPr>
          <w:trHeight w:val="16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台农养殖有限公司</w:t>
            </w:r>
          </w:p>
        </w:tc>
        <w:tc>
          <w:tcPr>
            <w:tcW w:w="2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1.场区雨污分流措施管理不到位；                       2.下游沟渠有污水积存现象。</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1.完善建立厂区雨污分流系统建设和管理；                                     2.规范收集回用场区污水和冲洗水，禁止进入外环境。</w:t>
            </w:r>
          </w:p>
        </w:tc>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杨世权</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品改站</w:t>
            </w:r>
          </w:p>
        </w:tc>
        <w:tc>
          <w:tcPr>
            <w:tcW w:w="1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2021年6月30日</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硒城街道刘育村</w:t>
            </w:r>
          </w:p>
        </w:tc>
      </w:tr>
      <w:tr>
        <w:tblPrEx>
          <w:shd w:val="clear" w:color="auto" w:fill="auto"/>
        </w:tblPrEx>
        <w:trPr>
          <w:trHeight w:val="816"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禾丰乡张国顺养殖场</w:t>
            </w:r>
          </w:p>
        </w:tc>
        <w:tc>
          <w:tcPr>
            <w:tcW w:w="2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养殖场位于禾丰乡核桃坪二级饮用水源保护区。</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完善相关粪污处置设施，粪污经发酵后用于还田还土。</w:t>
            </w:r>
          </w:p>
        </w:tc>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付  羽</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品改站</w:t>
            </w:r>
          </w:p>
        </w:tc>
        <w:tc>
          <w:tcPr>
            <w:tcW w:w="1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2021年6月30日</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禾丰乡长红村</w:t>
            </w:r>
          </w:p>
        </w:tc>
      </w:tr>
      <w:tr>
        <w:tblPrEx>
          <w:shd w:val="clear" w:color="auto" w:fill="auto"/>
          <w:tblCellMar>
            <w:top w:w="0" w:type="dxa"/>
            <w:left w:w="0" w:type="dxa"/>
            <w:bottom w:w="0" w:type="dxa"/>
            <w:right w:w="0" w:type="dxa"/>
          </w:tblCellMar>
        </w:tblPrEx>
        <w:trPr>
          <w:trHeight w:val="1208"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4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饮用水源</w:t>
            </w:r>
          </w:p>
        </w:tc>
        <w:tc>
          <w:tcPr>
            <w:tcW w:w="14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饮用水源地</w:t>
            </w:r>
          </w:p>
        </w:tc>
        <w:tc>
          <w:tcPr>
            <w:tcW w:w="2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翁井水库大寨片区、粮库片区生活污水的收集处理设施不完善。</w:t>
            </w:r>
          </w:p>
        </w:tc>
        <w:tc>
          <w:tcPr>
            <w:tcW w:w="35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善建设翁井水库大寨片区、粮库片区生活污水的收集处理设施，百安河水库引用水源保护区居民生活污水收集处理设施，台子田水库一级保护区居民生活污水收集处理设施，确保饮用水源地保护区农村生活污水得到有效收集处理。</w:t>
            </w:r>
          </w:p>
        </w:tc>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郑  宇</w:t>
            </w:r>
          </w:p>
        </w:tc>
        <w:tc>
          <w:tcPr>
            <w:tcW w:w="9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社会事务科</w:t>
            </w:r>
          </w:p>
        </w:tc>
        <w:tc>
          <w:tcPr>
            <w:tcW w:w="17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2021年12月31日</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硒城街道办</w:t>
            </w:r>
          </w:p>
        </w:tc>
      </w:tr>
      <w:tr>
        <w:tblPrEx>
          <w:shd w:val="clear" w:color="auto" w:fill="auto"/>
        </w:tblPrEx>
        <w:trPr>
          <w:trHeight w:val="1208"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白安河水库引用水源保护区居民生活污水收集处理设施不完善。</w:t>
            </w:r>
          </w:p>
        </w:tc>
        <w:tc>
          <w:tcPr>
            <w:tcW w:w="3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兰代河</w:t>
            </w:r>
          </w:p>
        </w:tc>
        <w:tc>
          <w:tcPr>
            <w:tcW w:w="9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硒城街道办</w:t>
            </w:r>
          </w:p>
        </w:tc>
      </w:tr>
      <w:tr>
        <w:tblPrEx>
          <w:shd w:val="clear" w:color="auto" w:fill="auto"/>
          <w:tblCellMar>
            <w:top w:w="0" w:type="dxa"/>
            <w:left w:w="0" w:type="dxa"/>
            <w:bottom w:w="0" w:type="dxa"/>
            <w:right w:w="0" w:type="dxa"/>
          </w:tblCellMar>
        </w:tblPrEx>
        <w:trPr>
          <w:trHeight w:val="816"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台子田水库一级保护区居民生活污水收集处理设施不完善。</w:t>
            </w:r>
          </w:p>
        </w:tc>
        <w:tc>
          <w:tcPr>
            <w:tcW w:w="3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  健</w:t>
            </w:r>
          </w:p>
        </w:tc>
        <w:tc>
          <w:tcPr>
            <w:tcW w:w="9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高寨乡</w:t>
            </w:r>
          </w:p>
        </w:tc>
      </w:tr>
      <w:tr>
        <w:tblPrEx>
          <w:shd w:val="clear" w:color="auto" w:fill="auto"/>
          <w:tblCellMar>
            <w:top w:w="0" w:type="dxa"/>
            <w:left w:w="0" w:type="dxa"/>
            <w:bottom w:w="0" w:type="dxa"/>
            <w:right w:w="0" w:type="dxa"/>
          </w:tblCellMar>
        </w:tblPrEx>
        <w:trPr>
          <w:trHeight w:val="1208"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4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农村生活污水处理设施</w:t>
            </w:r>
          </w:p>
        </w:tc>
        <w:tc>
          <w:tcPr>
            <w:tcW w:w="14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农村生活污水处理设施</w:t>
            </w:r>
          </w:p>
        </w:tc>
        <w:tc>
          <w:tcPr>
            <w:tcW w:w="2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年人居环境整治18个农村生活污水治理设施未竣工，部分设施运行不正常。一是永温镇永享村、安大村、双合村，冯三镇安坪村，禾丰乡穿洞村、田冲村管网为建完；二是双流镇刘育村设备故障，不能运行；三是永温镇安大村、双合村，冯三镇安坪村，禾丰乡穿洞村、田冲村进水量少，未调试运行。</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年人居环境整治18个农村生活污水治理设施尽快整治，一是尽快完成永温镇永享村、安大村、双合村，冯三镇安坪村，禾丰乡穿洞村、田冲村管网建设；二是双流镇刘育村站点立即组织排查，找出故障原因，修复设备，确保正常运行；三是采取可行措施解决永温镇安大村、双合村，冯三镇安坪村，禾丰乡穿洞村、田冲村进水量少的问题，尽快调试运行。四是确保18个农村污水处理设施2021年3月15日前正常运行，2121年4月30日前完成竣工验收。</w:t>
            </w:r>
          </w:p>
        </w:tc>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杨锡勇                     张明勇</w:t>
            </w:r>
          </w:p>
        </w:tc>
        <w:tc>
          <w:tcPr>
            <w:tcW w:w="9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社会事务科</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2021年4月30日</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永温镇、冯三镇、禾丰乡</w:t>
            </w:r>
          </w:p>
        </w:tc>
      </w:tr>
      <w:tr>
        <w:tblPrEx>
          <w:shd w:val="clear" w:color="auto" w:fill="auto"/>
          <w:tblCellMar>
            <w:top w:w="0" w:type="dxa"/>
            <w:left w:w="0" w:type="dxa"/>
            <w:bottom w:w="0" w:type="dxa"/>
            <w:right w:w="0" w:type="dxa"/>
          </w:tblCellMar>
        </w:tblPrEx>
        <w:trPr>
          <w:trHeight w:val="317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2020年15个千村整治百村示范农村污水治理设施未竣工验收，为正常运行。其中，一是15个点未种植水生植物；二是龙岗镇大荆村、大鸭村，冯三镇金龙村因涉及土地占用补偿问题，管网未建完。</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15个千村整治百村示范农村污水治理设施，一是经开完成15个农村生活污水治理设施水生植物种植；二是尽快完成龙岗镇大荆村、大鸭村，冯三镇金龙村管网建设工作，确保正常运行；三是确保2121年3月15日前正常运行，2121年4月30日前完成竣工验收。</w:t>
            </w: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冉  浴</w:t>
            </w:r>
          </w:p>
        </w:tc>
        <w:tc>
          <w:tcPr>
            <w:tcW w:w="9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龙岗镇、冯三镇</w:t>
            </w:r>
          </w:p>
        </w:tc>
      </w:tr>
      <w:tr>
        <w:tblPrEx>
          <w:shd w:val="clear" w:color="auto" w:fill="auto"/>
          <w:tblCellMar>
            <w:top w:w="0" w:type="dxa"/>
            <w:left w:w="0" w:type="dxa"/>
            <w:bottom w:w="0" w:type="dxa"/>
            <w:right w:w="0" w:type="dxa"/>
          </w:tblCellMar>
        </w:tblPrEx>
        <w:trPr>
          <w:trHeight w:val="2398"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已建成农村污水处理设施无专业运维人员和运维经费，不能正常运行。</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建立农村生活污水处理设施运行维护机制，确保以建设施正常运行，发挥效用。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钱正明</w:t>
            </w:r>
          </w:p>
        </w:tc>
        <w:tc>
          <w:tcPr>
            <w:tcW w:w="9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硒城、紫兴、永温镇、冯三镇、楠木渡镇、龙岗镇、禾丰乡、南江乡、毛云乡</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40"/>
          <w:lang w:val="en-US" w:eastAsia="zh-CN"/>
        </w:rPr>
        <w:sectPr>
          <w:pgSz w:w="16838" w:h="11906" w:orient="landscape"/>
          <w:pgMar w:top="1800" w:right="1440" w:bottom="1800" w:left="144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40"/>
          <w:lang w:val="en-US" w:eastAsia="zh-CN"/>
        </w:rPr>
      </w:pPr>
    </w:p>
    <w:p>
      <w:pPr>
        <w:pStyle w:val="2"/>
        <w:rPr>
          <w:rFonts w:hint="default" w:ascii="仿宋_GB2312" w:hAnsi="仿宋_GB2312" w:eastAsia="仿宋_GB2312" w:cs="仿宋_GB2312"/>
          <w:sz w:val="32"/>
          <w:szCs w:val="40"/>
          <w:lang w:val="en-US" w:eastAsia="zh-CN"/>
        </w:rPr>
      </w:pPr>
    </w:p>
    <w:p>
      <w:pPr>
        <w:pStyle w:val="2"/>
        <w:rPr>
          <w:rFonts w:hint="default" w:ascii="仿宋_GB2312" w:hAnsi="仿宋_GB2312" w:eastAsia="仿宋_GB2312" w:cs="仿宋_GB2312"/>
          <w:sz w:val="32"/>
          <w:szCs w:val="40"/>
          <w:lang w:val="en-US" w:eastAsia="zh-CN"/>
        </w:rPr>
      </w:pPr>
    </w:p>
    <w:p>
      <w:pPr>
        <w:pStyle w:val="2"/>
        <w:rPr>
          <w:rFonts w:hint="default" w:ascii="仿宋_GB2312" w:hAnsi="仿宋_GB2312" w:eastAsia="仿宋_GB2312" w:cs="仿宋_GB2312"/>
          <w:sz w:val="32"/>
          <w:szCs w:val="40"/>
          <w:lang w:val="en-US" w:eastAsia="zh-CN"/>
        </w:rPr>
      </w:pPr>
    </w:p>
    <w:p>
      <w:pPr>
        <w:pStyle w:val="2"/>
        <w:rPr>
          <w:rFonts w:hint="default" w:ascii="仿宋_GB2312" w:hAnsi="仿宋_GB2312" w:eastAsia="仿宋_GB2312" w:cs="仿宋_GB2312"/>
          <w:sz w:val="32"/>
          <w:szCs w:val="40"/>
          <w:lang w:val="en-US" w:eastAsia="zh-CN"/>
        </w:rPr>
      </w:pPr>
    </w:p>
    <w:p>
      <w:pPr>
        <w:pStyle w:val="2"/>
        <w:rPr>
          <w:rFonts w:hint="default" w:ascii="仿宋_GB2312" w:hAnsi="仿宋_GB2312" w:eastAsia="仿宋_GB2312" w:cs="仿宋_GB2312"/>
          <w:sz w:val="32"/>
          <w:szCs w:val="40"/>
          <w:lang w:val="en-US" w:eastAsia="zh-CN"/>
        </w:rPr>
      </w:pPr>
    </w:p>
    <w:p>
      <w:pPr>
        <w:pStyle w:val="2"/>
        <w:rPr>
          <w:rFonts w:hint="default" w:ascii="仿宋_GB2312" w:hAnsi="仿宋_GB2312" w:eastAsia="仿宋_GB2312" w:cs="仿宋_GB2312"/>
          <w:sz w:val="32"/>
          <w:szCs w:val="40"/>
          <w:lang w:val="en-US" w:eastAsia="zh-CN"/>
        </w:rPr>
      </w:pPr>
    </w:p>
    <w:p>
      <w:pPr>
        <w:pStyle w:val="2"/>
        <w:rPr>
          <w:rFonts w:hint="default" w:ascii="仿宋_GB2312" w:hAnsi="仿宋_GB2312" w:eastAsia="仿宋_GB2312" w:cs="仿宋_GB2312"/>
          <w:sz w:val="32"/>
          <w:szCs w:val="40"/>
          <w:lang w:val="en-US" w:eastAsia="zh-CN"/>
        </w:rPr>
      </w:pPr>
    </w:p>
    <w:p>
      <w:pPr>
        <w:pStyle w:val="2"/>
        <w:rPr>
          <w:rFonts w:hint="default" w:ascii="仿宋_GB2312" w:hAnsi="仿宋_GB2312" w:eastAsia="仿宋_GB2312" w:cs="仿宋_GB2312"/>
          <w:sz w:val="32"/>
          <w:szCs w:val="40"/>
          <w:lang w:val="en-US" w:eastAsia="zh-CN"/>
        </w:rPr>
      </w:pPr>
    </w:p>
    <w:p>
      <w:pPr>
        <w:pStyle w:val="2"/>
        <w:rPr>
          <w:rFonts w:hint="default" w:ascii="仿宋_GB2312" w:hAnsi="仿宋_GB2312" w:eastAsia="仿宋_GB2312" w:cs="仿宋_GB2312"/>
          <w:sz w:val="32"/>
          <w:szCs w:val="40"/>
          <w:lang w:val="en-US" w:eastAsia="zh-CN"/>
        </w:rPr>
      </w:pPr>
    </w:p>
    <w:p>
      <w:pPr>
        <w:pStyle w:val="2"/>
        <w:rPr>
          <w:rFonts w:hint="default" w:ascii="仿宋_GB2312" w:hAnsi="仿宋_GB2312" w:eastAsia="仿宋_GB2312" w:cs="仿宋_GB2312"/>
          <w:sz w:val="32"/>
          <w:szCs w:val="40"/>
          <w:lang w:val="en-US" w:eastAsia="zh-CN"/>
        </w:rPr>
      </w:pPr>
    </w:p>
    <w:p>
      <w:pPr>
        <w:pStyle w:val="2"/>
        <w:rPr>
          <w:rFonts w:hint="default" w:ascii="仿宋_GB2312" w:hAnsi="仿宋_GB2312" w:eastAsia="仿宋_GB2312" w:cs="仿宋_GB2312"/>
          <w:sz w:val="32"/>
          <w:szCs w:val="40"/>
          <w:lang w:val="en-US" w:eastAsia="zh-CN"/>
        </w:rPr>
      </w:pPr>
    </w:p>
    <w:p>
      <w:pPr>
        <w:pStyle w:val="2"/>
        <w:rPr>
          <w:rFonts w:hint="default" w:ascii="仿宋_GB2312" w:hAnsi="仿宋_GB2312" w:eastAsia="仿宋_GB2312" w:cs="仿宋_GB2312"/>
          <w:sz w:val="32"/>
          <w:szCs w:val="40"/>
          <w:lang w:val="en-US" w:eastAsia="zh-CN"/>
        </w:rPr>
      </w:pPr>
    </w:p>
    <w:p>
      <w:pPr>
        <w:pStyle w:val="2"/>
        <w:rPr>
          <w:rFonts w:hint="default" w:ascii="仿宋_GB2312" w:hAnsi="仿宋_GB2312" w:eastAsia="仿宋_GB2312" w:cs="仿宋_GB2312"/>
          <w:sz w:val="32"/>
          <w:szCs w:val="40"/>
          <w:lang w:val="en-US" w:eastAsia="zh-CN"/>
        </w:rPr>
      </w:pPr>
    </w:p>
    <w:p>
      <w:pPr>
        <w:pStyle w:val="2"/>
        <w:rPr>
          <w:rFonts w:hint="default" w:ascii="仿宋_GB2312" w:hAnsi="仿宋_GB2312" w:eastAsia="仿宋_GB2312" w:cs="仿宋_GB2312"/>
          <w:sz w:val="32"/>
          <w:szCs w:val="40"/>
          <w:lang w:val="en-US" w:eastAsia="zh-CN"/>
        </w:rPr>
      </w:pPr>
    </w:p>
    <w:p>
      <w:pPr>
        <w:pStyle w:val="2"/>
        <w:rPr>
          <w:rFonts w:hint="default" w:ascii="仿宋_GB2312" w:hAnsi="仿宋_GB2312" w:eastAsia="仿宋_GB2312" w:cs="仿宋_GB2312"/>
          <w:sz w:val="32"/>
          <w:szCs w:val="40"/>
          <w:lang w:val="en-US" w:eastAsia="zh-CN"/>
        </w:rPr>
      </w:pPr>
    </w:p>
    <w:p>
      <w:pPr>
        <w:pStyle w:val="2"/>
        <w:rPr>
          <w:rFonts w:hint="default" w:ascii="仿宋_GB2312" w:hAnsi="仿宋_GB2312" w:eastAsia="仿宋_GB2312" w:cs="仿宋_GB2312"/>
          <w:sz w:val="32"/>
          <w:szCs w:val="40"/>
          <w:lang w:val="en-US" w:eastAsia="zh-CN"/>
        </w:rPr>
      </w:pPr>
    </w:p>
    <w:p>
      <w:pPr>
        <w:pStyle w:val="2"/>
        <w:rPr>
          <w:rFonts w:hint="default"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40"/>
          <w:highlight w:val="none"/>
          <w:lang w:val="en-US" w:eastAsia="zh-CN"/>
        </w:rPr>
      </w:pPr>
    </w:p>
    <w:tbl>
      <w:tblPr>
        <w:tblStyle w:val="5"/>
        <w:tblW w:w="8850" w:type="dxa"/>
        <w:tblInd w:w="117"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5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850" w:type="dxa"/>
            <w:vAlign w:val="center"/>
          </w:tcPr>
          <w:p>
            <w:pPr>
              <w:widowControl w:val="0"/>
              <w:spacing w:line="360" w:lineRule="exact"/>
              <w:ind w:firstLine="0"/>
              <w:jc w:val="center"/>
              <w:rPr>
                <w:rFonts w:ascii="Calibri" w:hAnsi="Calibri" w:eastAsia="仿宋_GB2312" w:cs="Times New Roman"/>
                <w:kern w:val="2"/>
                <w:sz w:val="32"/>
                <w:szCs w:val="22"/>
                <w:highlight w:val="none"/>
                <w:lang w:val="en-US" w:eastAsia="zh-CN" w:bidi="ar-SA"/>
              </w:rPr>
            </w:pPr>
            <w:r>
              <w:rPr>
                <w:rFonts w:hint="eastAsia" w:ascii="Calibri" w:hAnsi="Calibri" w:eastAsia="仿宋_GB2312" w:cs="Times New Roman"/>
                <w:kern w:val="2"/>
                <w:sz w:val="28"/>
                <w:szCs w:val="28"/>
                <w:highlight w:val="none"/>
                <w:lang w:val="en-US" w:eastAsia="zh-CN" w:bidi="ar-SA"/>
              </w:rPr>
              <w:t xml:space="preserve">开阳县农业农村局办公室                 </w:t>
            </w:r>
            <w:r>
              <w:rPr>
                <w:rFonts w:hint="eastAsia" w:ascii="仿宋_GB2312" w:hAnsi="仿宋_GB2312" w:eastAsia="仿宋_GB2312" w:cs="仿宋_GB2312"/>
                <w:kern w:val="2"/>
                <w:sz w:val="28"/>
                <w:szCs w:val="28"/>
                <w:highlight w:val="none"/>
                <w:lang w:val="en-US" w:eastAsia="zh-CN" w:bidi="ar-SA"/>
              </w:rPr>
              <w:t>2012年3月12日印发</w:t>
            </w:r>
          </w:p>
        </w:tc>
      </w:tr>
    </w:tbl>
    <w:p>
      <w:pPr>
        <w:widowControl w:val="0"/>
        <w:spacing w:line="460" w:lineRule="exact"/>
        <w:ind w:firstLine="6661" w:firstLineChars="2379"/>
        <w:jc w:val="both"/>
        <w:rPr>
          <w:rFonts w:hint="default" w:ascii="仿宋_GB2312" w:hAnsi="仿宋_GB2312" w:eastAsia="仿宋_GB2312" w:cs="仿宋_GB2312"/>
          <w:sz w:val="32"/>
          <w:szCs w:val="40"/>
          <w:highlight w:val="none"/>
          <w:lang w:val="en-US" w:eastAsia="zh-CN"/>
        </w:rPr>
      </w:pPr>
      <w:r>
        <w:rPr>
          <w:rFonts w:hint="eastAsia" w:ascii="仿宋_GB2312" w:hAnsi="仿宋_GB2312" w:eastAsia="仿宋_GB2312" w:cs="仿宋_GB2312"/>
          <w:kern w:val="2"/>
          <w:sz w:val="28"/>
          <w:szCs w:val="28"/>
          <w:highlight w:val="none"/>
          <w:lang w:val="en-US" w:eastAsia="zh-CN" w:bidi="ar-SA"/>
        </w:rPr>
        <w:t>共印25份</w:t>
      </w:r>
    </w:p>
    <w:sectPr>
      <w:pgSz w:w="11906" w:h="16838"/>
      <w:pgMar w:top="2098" w:right="1474" w:bottom="1984" w:left="1587" w:header="851" w:footer="90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-417830</wp:posOffset>
              </wp:positionV>
              <wp:extent cx="730250" cy="29337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30250" cy="2933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44"/>
                              <w:lang w:eastAsia="zh-CN"/>
                            </w:rPr>
                          </w:pPr>
                          <w:r>
                            <w:rPr>
                              <w:rFonts w:hint="eastAsia" w:ascii="宋体" w:hAnsi="宋体" w:eastAsia="宋体" w:cs="宋体"/>
                              <w:sz w:val="28"/>
                              <w:szCs w:val="44"/>
                              <w:lang w:eastAsia="zh-CN"/>
                            </w:rPr>
                            <w:t>—</w:t>
                          </w:r>
                          <w:r>
                            <w:rPr>
                              <w:rFonts w:hint="eastAsia" w:ascii="宋体" w:hAnsi="宋体" w:eastAsia="宋体" w:cs="宋体"/>
                              <w:sz w:val="28"/>
                              <w:szCs w:val="44"/>
                              <w:lang w:val="en-US" w:eastAsia="zh-CN"/>
                            </w:rPr>
                            <w:t xml:space="preserve"> </w:t>
                          </w: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lang w:eastAsia="zh-CN"/>
                            </w:rPr>
                            <w:t>1</w:t>
                          </w:r>
                          <w:r>
                            <w:rPr>
                              <w:rFonts w:hint="eastAsia" w:ascii="宋体" w:hAnsi="宋体" w:eastAsia="宋体" w:cs="宋体"/>
                              <w:sz w:val="28"/>
                              <w:szCs w:val="44"/>
                              <w:lang w:eastAsia="zh-CN"/>
                            </w:rPr>
                            <w:fldChar w:fldCharType="end"/>
                          </w:r>
                          <w:r>
                            <w:rPr>
                              <w:rFonts w:hint="eastAsia" w:ascii="宋体" w:hAnsi="宋体" w:eastAsia="宋体" w:cs="宋体"/>
                              <w:sz w:val="28"/>
                              <w:szCs w:val="44"/>
                              <w:lang w:val="en-US" w:eastAsia="zh-CN"/>
                            </w:rPr>
                            <w:t xml:space="preserve"> </w:t>
                          </w:r>
                          <w:r>
                            <w:rPr>
                              <w:rFonts w:hint="eastAsia" w:ascii="宋体" w:hAnsi="宋体" w:eastAsia="宋体" w:cs="宋体"/>
                              <w:sz w:val="28"/>
                              <w:szCs w:val="44"/>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32.9pt;height:23.1pt;width:57.5pt;mso-position-horizontal:outside;mso-position-horizontal-relative:margin;z-index:251659264;mso-width-relative:page;mso-height-relative:page;" filled="f" stroked="f" coordsize="21600,21600" o:gfxdata="UEsDBAoAAAAAAIdO4kAAAAAAAAAAAAAAAAAEAAAAZHJzL1BLAwQUAAAACACHTuJAOXS+wNYAAAAI&#10;AQAADwAAAGRycy9kb3ducmV2LnhtbE2PS0/DMBCE70j8B2uRuLW2kRpBiNMDjxuvFiqVmxMvSYQf&#10;ke2k5d+zPcFxZ0az81Xro7NsxpiG4BXIpQCGvg1m8J2Cj/fHxTWwlLU32gaPCn4wwbo+P6t0acLB&#10;b3De5o5RiU+lVtDnPJacp7ZHp9MyjOjJ+wrR6Uxn7LiJ+kDlzvIrIQru9ODpQ69HvOux/d5OToHd&#10;p/jUiPw533fP+e2VT7sH+aLU5YUUt8AyHvNfGE7zaTrUtKkJkzeJWQUEkhUsihUBnGy5IqUhRd4U&#10;wOuK/weofwFQSwMEFAAAAAgAh07iQKbTkqc1AgAAYQQAAA4AAABkcnMvZTJvRG9jLnhtbK1UzW7U&#10;MBC+I/EOlu80+yNaWDVbLa2KkCpaqSDOXsfZWLI9xvY2KQ8Ab8CpF+48V5+Dz8lmC4VDD1y8k/n/&#10;vpnZ45POGnajQtTkSj49mHCmnKRKu03JP344f/GKs5iEq4Qhp0p+qyI/WT5/dtz6hZpRQ6ZSgSGJ&#10;i4vWl7xJyS+KIspGWREPyCsHY03BioTPsCmqIFpkt6aYTSaHRUuh8oGkihHas8HIdxnDUxJSXWup&#10;zkhurXJpyBqUEQmQYqN95Mu+27pWMl3WdVSJmZIDaepfFIG8zm+xPBaLTRC+0XLXgnhKC48wWaEd&#10;iu5TnYkk2Dbov1JZLQNFqtOBJFsMQHpGgGI6ecTNdSO86rGA6uj3pMf/l1a+v7kKTFcln3HmhMXA&#10;779/u7/7ef/jK5tlelofF/C69vBL3RvqsDSjPkKZUXd1sPkXeBjsIPd2T67qEpNQHs0ns5ewSJhm&#10;r+fzo5784iHYh5jeKrIsCyUPmF1Pqbi5iAmNwHV0ybUcnWtj+vkZx9qSH86R/g8LIoxDYIYwtJql&#10;1K27Ha41VbeAFWjYi+jluUbxCxHTlQhYBPSLU0mXeGpDKEI7ibOGwpd/6bM/5gMrZy0Wq+Tx81YE&#10;xZl55zA5pEyjEEZhPQpua08JuzrFEXrZiwgIyYxiHch+wgWtchWYhJOoVfI0iqdpWG9coFSrVe+0&#10;9UFvmiEAe+dFunDXXuYyA2GrbaJa9yxnigZedsxh83ryd1eSV/v3797r4Z9h+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5dL7A1gAAAAgBAAAPAAAAAAAAAAEAIAAAACIAAABkcnMvZG93bnJldi54&#10;bWxQSwECFAAUAAAACACHTuJAptOSpzUCAABhBAAADgAAAAAAAAABACAAAAAlAQAAZHJzL2Uyb0Rv&#10;Yy54bWxQSwUGAAAAAAYABgBZAQAAzAUAAAAA&#10;">
              <v:fill on="f" focussize="0,0"/>
              <v:stroke on="f" weight="0.5pt"/>
              <v:imagedata o:title=""/>
              <o:lock v:ext="edit" aspectratio="f"/>
              <v:textbox inset="0mm,0mm,0mm,0mm">
                <w:txbxContent>
                  <w:p>
                    <w:pPr>
                      <w:pStyle w:val="3"/>
                      <w:rPr>
                        <w:rFonts w:hint="eastAsia" w:ascii="宋体" w:hAnsi="宋体" w:eastAsia="宋体" w:cs="宋体"/>
                        <w:sz w:val="28"/>
                        <w:szCs w:val="44"/>
                        <w:lang w:eastAsia="zh-CN"/>
                      </w:rPr>
                    </w:pPr>
                    <w:r>
                      <w:rPr>
                        <w:rFonts w:hint="eastAsia" w:ascii="宋体" w:hAnsi="宋体" w:eastAsia="宋体" w:cs="宋体"/>
                        <w:sz w:val="28"/>
                        <w:szCs w:val="44"/>
                        <w:lang w:eastAsia="zh-CN"/>
                      </w:rPr>
                      <w:t>—</w:t>
                    </w:r>
                    <w:r>
                      <w:rPr>
                        <w:rFonts w:hint="eastAsia" w:ascii="宋体" w:hAnsi="宋体" w:eastAsia="宋体" w:cs="宋体"/>
                        <w:sz w:val="28"/>
                        <w:szCs w:val="44"/>
                        <w:lang w:val="en-US" w:eastAsia="zh-CN"/>
                      </w:rPr>
                      <w:t xml:space="preserve"> </w:t>
                    </w: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lang w:eastAsia="zh-CN"/>
                      </w:rPr>
                      <w:t>1</w:t>
                    </w:r>
                    <w:r>
                      <w:rPr>
                        <w:rFonts w:hint="eastAsia" w:ascii="宋体" w:hAnsi="宋体" w:eastAsia="宋体" w:cs="宋体"/>
                        <w:sz w:val="28"/>
                        <w:szCs w:val="44"/>
                        <w:lang w:eastAsia="zh-CN"/>
                      </w:rPr>
                      <w:fldChar w:fldCharType="end"/>
                    </w:r>
                    <w:r>
                      <w:rPr>
                        <w:rFonts w:hint="eastAsia" w:ascii="宋体" w:hAnsi="宋体" w:eastAsia="宋体" w:cs="宋体"/>
                        <w:sz w:val="28"/>
                        <w:szCs w:val="44"/>
                        <w:lang w:val="en-US" w:eastAsia="zh-CN"/>
                      </w:rPr>
                      <w:t xml:space="preserve"> </w:t>
                    </w:r>
                    <w:r>
                      <w:rPr>
                        <w:rFonts w:hint="eastAsia" w:ascii="宋体" w:hAnsi="宋体" w:eastAsia="宋体" w:cs="宋体"/>
                        <w:sz w:val="28"/>
                        <w:szCs w:val="4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85C94"/>
    <w:rsid w:val="00EC5250"/>
    <w:rsid w:val="02156E75"/>
    <w:rsid w:val="02BF4E03"/>
    <w:rsid w:val="02CC10A2"/>
    <w:rsid w:val="0408614C"/>
    <w:rsid w:val="04A923FC"/>
    <w:rsid w:val="058B5876"/>
    <w:rsid w:val="069D0487"/>
    <w:rsid w:val="077D0EC0"/>
    <w:rsid w:val="09B616B8"/>
    <w:rsid w:val="09D17DF9"/>
    <w:rsid w:val="09DC621A"/>
    <w:rsid w:val="0A4038F5"/>
    <w:rsid w:val="0ADA39FA"/>
    <w:rsid w:val="0B473960"/>
    <w:rsid w:val="0BB36CC5"/>
    <w:rsid w:val="0C6B5B2E"/>
    <w:rsid w:val="0CA070A5"/>
    <w:rsid w:val="0D532BAF"/>
    <w:rsid w:val="0D9A74A4"/>
    <w:rsid w:val="0E623CE5"/>
    <w:rsid w:val="0E686216"/>
    <w:rsid w:val="0ED97DD9"/>
    <w:rsid w:val="0EFC5E70"/>
    <w:rsid w:val="10584D73"/>
    <w:rsid w:val="124E0A8C"/>
    <w:rsid w:val="12797ED3"/>
    <w:rsid w:val="12906D0A"/>
    <w:rsid w:val="133B0E8A"/>
    <w:rsid w:val="136C5CB2"/>
    <w:rsid w:val="139728FB"/>
    <w:rsid w:val="14D263C5"/>
    <w:rsid w:val="14FC4C67"/>
    <w:rsid w:val="15142C2F"/>
    <w:rsid w:val="15BA3884"/>
    <w:rsid w:val="16167770"/>
    <w:rsid w:val="17361FA2"/>
    <w:rsid w:val="17D5219F"/>
    <w:rsid w:val="19721A1A"/>
    <w:rsid w:val="19896015"/>
    <w:rsid w:val="19B441D4"/>
    <w:rsid w:val="19CB6885"/>
    <w:rsid w:val="19D76B42"/>
    <w:rsid w:val="1AC85B7C"/>
    <w:rsid w:val="1B4C138A"/>
    <w:rsid w:val="1B736FE1"/>
    <w:rsid w:val="1BBC5C64"/>
    <w:rsid w:val="1BD84D31"/>
    <w:rsid w:val="1BDB0468"/>
    <w:rsid w:val="1C0E43CA"/>
    <w:rsid w:val="1CEB72D1"/>
    <w:rsid w:val="1D681183"/>
    <w:rsid w:val="1F5B4686"/>
    <w:rsid w:val="1F82312E"/>
    <w:rsid w:val="20426027"/>
    <w:rsid w:val="2137344F"/>
    <w:rsid w:val="21416AD0"/>
    <w:rsid w:val="22831ACE"/>
    <w:rsid w:val="22EB50EA"/>
    <w:rsid w:val="23924E78"/>
    <w:rsid w:val="23FE12F8"/>
    <w:rsid w:val="258A5771"/>
    <w:rsid w:val="260C05BC"/>
    <w:rsid w:val="26705436"/>
    <w:rsid w:val="26791581"/>
    <w:rsid w:val="26792B9A"/>
    <w:rsid w:val="26AE128C"/>
    <w:rsid w:val="280B7FB5"/>
    <w:rsid w:val="283104A6"/>
    <w:rsid w:val="28877F0D"/>
    <w:rsid w:val="28C54C53"/>
    <w:rsid w:val="29432496"/>
    <w:rsid w:val="294C7154"/>
    <w:rsid w:val="29940926"/>
    <w:rsid w:val="29A2173D"/>
    <w:rsid w:val="2AB15F96"/>
    <w:rsid w:val="2BE1485D"/>
    <w:rsid w:val="2C8E57D5"/>
    <w:rsid w:val="2CA13D3E"/>
    <w:rsid w:val="2D2C3672"/>
    <w:rsid w:val="2D475C84"/>
    <w:rsid w:val="2DB315E5"/>
    <w:rsid w:val="2DC217E3"/>
    <w:rsid w:val="2F567053"/>
    <w:rsid w:val="302B1723"/>
    <w:rsid w:val="313733C8"/>
    <w:rsid w:val="32397F64"/>
    <w:rsid w:val="332C1384"/>
    <w:rsid w:val="33D9763B"/>
    <w:rsid w:val="34ED4A8C"/>
    <w:rsid w:val="352D71B8"/>
    <w:rsid w:val="352E4917"/>
    <w:rsid w:val="35DB2278"/>
    <w:rsid w:val="360D22DB"/>
    <w:rsid w:val="3650443D"/>
    <w:rsid w:val="36D21001"/>
    <w:rsid w:val="36DD250F"/>
    <w:rsid w:val="37CC461C"/>
    <w:rsid w:val="37DB3EBE"/>
    <w:rsid w:val="37E31E23"/>
    <w:rsid w:val="37F26A9D"/>
    <w:rsid w:val="3841699D"/>
    <w:rsid w:val="38D07B23"/>
    <w:rsid w:val="391D6203"/>
    <w:rsid w:val="39D31349"/>
    <w:rsid w:val="3A20597D"/>
    <w:rsid w:val="3B8A6A91"/>
    <w:rsid w:val="3C777ADA"/>
    <w:rsid w:val="3D1D0B22"/>
    <w:rsid w:val="3D226F3E"/>
    <w:rsid w:val="3DFE724C"/>
    <w:rsid w:val="3E0813D6"/>
    <w:rsid w:val="3E2C2F81"/>
    <w:rsid w:val="3EED2EC9"/>
    <w:rsid w:val="3F0B5BE1"/>
    <w:rsid w:val="3FA3668F"/>
    <w:rsid w:val="41206356"/>
    <w:rsid w:val="41961D4C"/>
    <w:rsid w:val="424B7B71"/>
    <w:rsid w:val="435A7C95"/>
    <w:rsid w:val="43625541"/>
    <w:rsid w:val="44083D71"/>
    <w:rsid w:val="44101EF9"/>
    <w:rsid w:val="44B572D4"/>
    <w:rsid w:val="465C48DC"/>
    <w:rsid w:val="4727386B"/>
    <w:rsid w:val="47564B86"/>
    <w:rsid w:val="47914A4B"/>
    <w:rsid w:val="48B420CC"/>
    <w:rsid w:val="48DF75C3"/>
    <w:rsid w:val="49981E95"/>
    <w:rsid w:val="49B66809"/>
    <w:rsid w:val="4AB65178"/>
    <w:rsid w:val="4AC459A8"/>
    <w:rsid w:val="4BAF4F0B"/>
    <w:rsid w:val="4C6F613E"/>
    <w:rsid w:val="4C90770A"/>
    <w:rsid w:val="4D5D39A1"/>
    <w:rsid w:val="4DE70CD4"/>
    <w:rsid w:val="4ED4660C"/>
    <w:rsid w:val="4FD64D9B"/>
    <w:rsid w:val="503B7286"/>
    <w:rsid w:val="50EC76C6"/>
    <w:rsid w:val="515966AA"/>
    <w:rsid w:val="51A759CE"/>
    <w:rsid w:val="51CF5640"/>
    <w:rsid w:val="520D11A2"/>
    <w:rsid w:val="522F3A53"/>
    <w:rsid w:val="53844200"/>
    <w:rsid w:val="54B06BA6"/>
    <w:rsid w:val="552E08E5"/>
    <w:rsid w:val="5631353B"/>
    <w:rsid w:val="58C74D73"/>
    <w:rsid w:val="59546B52"/>
    <w:rsid w:val="5A0D0E19"/>
    <w:rsid w:val="5A213C35"/>
    <w:rsid w:val="5BAE7B9D"/>
    <w:rsid w:val="5DE30A9E"/>
    <w:rsid w:val="5E1E3ED4"/>
    <w:rsid w:val="5E9216D3"/>
    <w:rsid w:val="5EA14D33"/>
    <w:rsid w:val="5F9973BD"/>
    <w:rsid w:val="605D11AF"/>
    <w:rsid w:val="617F5527"/>
    <w:rsid w:val="61AF435F"/>
    <w:rsid w:val="62D718B5"/>
    <w:rsid w:val="633C35BA"/>
    <w:rsid w:val="634F2252"/>
    <w:rsid w:val="63BE133E"/>
    <w:rsid w:val="63E56E4B"/>
    <w:rsid w:val="65026AF2"/>
    <w:rsid w:val="659500CC"/>
    <w:rsid w:val="65EA5494"/>
    <w:rsid w:val="669E41FF"/>
    <w:rsid w:val="671D0D46"/>
    <w:rsid w:val="672D0A7E"/>
    <w:rsid w:val="687E5D2E"/>
    <w:rsid w:val="68BF6FB7"/>
    <w:rsid w:val="69103FE8"/>
    <w:rsid w:val="69CC3573"/>
    <w:rsid w:val="6A00677C"/>
    <w:rsid w:val="6A211A82"/>
    <w:rsid w:val="6A374FF4"/>
    <w:rsid w:val="6ADC0F64"/>
    <w:rsid w:val="6B2F5443"/>
    <w:rsid w:val="6C2B2127"/>
    <w:rsid w:val="6C882226"/>
    <w:rsid w:val="6FF86C3A"/>
    <w:rsid w:val="701A24DC"/>
    <w:rsid w:val="702326E2"/>
    <w:rsid w:val="702E5B96"/>
    <w:rsid w:val="704358D8"/>
    <w:rsid w:val="704A7A14"/>
    <w:rsid w:val="70AB2114"/>
    <w:rsid w:val="70AF6353"/>
    <w:rsid w:val="70DD2737"/>
    <w:rsid w:val="70DE4CDF"/>
    <w:rsid w:val="71A12024"/>
    <w:rsid w:val="726570C3"/>
    <w:rsid w:val="72DF7643"/>
    <w:rsid w:val="73584ABC"/>
    <w:rsid w:val="736A61C5"/>
    <w:rsid w:val="73A7207B"/>
    <w:rsid w:val="7568249E"/>
    <w:rsid w:val="77C916CC"/>
    <w:rsid w:val="78B87C1A"/>
    <w:rsid w:val="78F117FA"/>
    <w:rsid w:val="79142A5A"/>
    <w:rsid w:val="795F05B2"/>
    <w:rsid w:val="79E46A95"/>
    <w:rsid w:val="7A9C3790"/>
    <w:rsid w:val="7B9E6855"/>
    <w:rsid w:val="7C001940"/>
    <w:rsid w:val="7C3E1AD1"/>
    <w:rsid w:val="7C8042E7"/>
    <w:rsid w:val="7D4A28FB"/>
    <w:rsid w:val="7E0F6E7E"/>
    <w:rsid w:val="7E4932A5"/>
    <w:rsid w:val="7E74757E"/>
    <w:rsid w:val="7F183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公1"/>
    <w:basedOn w:val="1"/>
    <w:qFormat/>
    <w:uiPriority w:val="0"/>
    <w:pPr>
      <w:ind w:firstLine="200" w:firstLineChars="200"/>
    </w:pPr>
    <w:rPr>
      <w:color w:val="00000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2021-03-09T03:07:00Z</dcterms:created>
  <dc:creator>chappy</dc:creator>
  <cp:lastModifiedBy>Joviality</cp:lastModifiedBy>
  <cp:lastPrinted>2021-03-15T05:33:00Z</cp:lastPrinted>
  <dcterms:modified xsi:type="dcterms:W3CDTF">2021-03-18T06:35:52Z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72C68A5B864E4526B298A7855E152424</vt:lpwstr>
  </property>
</Properties>
</file>