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70" w:rsidRPr="00BD0870" w:rsidRDefault="00BD0870" w:rsidP="00BD0870">
      <w:pPr>
        <w:widowControl/>
        <w:jc w:val="center"/>
        <w:rPr>
          <w:rFonts w:ascii="微软雅黑" w:eastAsia="微软雅黑" w:hAnsi="微软雅黑" w:cs="宋体"/>
          <w:color w:val="000000"/>
          <w:kern w:val="0"/>
          <w:sz w:val="17"/>
          <w:szCs w:val="17"/>
        </w:rPr>
      </w:pPr>
      <w:r w:rsidRPr="00BD0870">
        <w:rPr>
          <w:rFonts w:ascii="微软雅黑" w:eastAsia="微软雅黑" w:hAnsi="微软雅黑" w:cs="宋体" w:hint="eastAsia"/>
          <w:color w:val="333333"/>
          <w:kern w:val="0"/>
          <w:sz w:val="31"/>
          <w:szCs w:val="31"/>
        </w:rPr>
        <w:t>开阳县烟草制品零售点合理布局规定  （征求意见稿）</w:t>
      </w:r>
    </w:p>
    <w:p w:rsidR="00BD0870" w:rsidRPr="00BD0870" w:rsidRDefault="00BD0870" w:rsidP="00BD0870">
      <w:pPr>
        <w:widowControl/>
        <w:spacing w:line="404" w:lineRule="atLeast"/>
        <w:jc w:val="center"/>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第一章</w:t>
      </w:r>
      <w:r w:rsidRPr="00BD0870">
        <w:rPr>
          <w:rFonts w:ascii="宋体" w:eastAsia="宋体" w:hAnsi="宋体" w:cs="宋体" w:hint="eastAsia"/>
          <w:color w:val="000000"/>
          <w:kern w:val="0"/>
          <w:sz w:val="22"/>
        </w:rPr>
        <w:t> </w:t>
      </w:r>
      <w:r w:rsidRPr="00BD0870">
        <w:rPr>
          <w:rFonts w:ascii="黑体" w:eastAsia="黑体" w:hAnsi="黑体" w:cs="黑体" w:hint="eastAsia"/>
          <w:color w:val="000000"/>
          <w:kern w:val="0"/>
          <w:sz w:val="22"/>
        </w:rPr>
        <w:t xml:space="preserve"> </w:t>
      </w:r>
      <w:r w:rsidRPr="00BD0870">
        <w:rPr>
          <w:rFonts w:ascii="黑体" w:eastAsia="黑体" w:hAnsi="黑体" w:cs="宋体" w:hint="eastAsia"/>
          <w:color w:val="000000"/>
          <w:kern w:val="0"/>
          <w:sz w:val="22"/>
        </w:rPr>
        <w:t>总</w:t>
      </w:r>
      <w:r w:rsidRPr="00BD0870">
        <w:rPr>
          <w:rFonts w:ascii="宋体" w:eastAsia="宋体" w:hAnsi="宋体" w:cs="宋体" w:hint="eastAsia"/>
          <w:color w:val="000000"/>
          <w:kern w:val="0"/>
          <w:sz w:val="22"/>
        </w:rPr>
        <w:t> </w:t>
      </w:r>
      <w:r w:rsidRPr="00BD0870">
        <w:rPr>
          <w:rFonts w:ascii="黑体" w:eastAsia="黑体" w:hAnsi="黑体" w:cs="黑体" w:hint="eastAsia"/>
          <w:color w:val="000000"/>
          <w:kern w:val="0"/>
          <w:sz w:val="22"/>
        </w:rPr>
        <w:t xml:space="preserve"> </w:t>
      </w:r>
      <w:r w:rsidRPr="00BD0870">
        <w:rPr>
          <w:rFonts w:ascii="黑体" w:eastAsia="黑体" w:hAnsi="黑体" w:cs="宋体" w:hint="eastAsia"/>
          <w:color w:val="000000"/>
          <w:kern w:val="0"/>
          <w:sz w:val="22"/>
        </w:rPr>
        <w:t>则</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第一条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为加强烟草专卖零售许可证管理，规范烟草制品零售市场秩序，保护烟草制品经营者、消费者及未成年人的合法权益，根据《中华人民共和国行政许可法》《中华人民共和国未成年人保护法》《中华人民共和国烟草专卖法》及实施条例、《烟草专卖许可证管理办法》及实施细则等法律法规规章和行政规范性文件，结合开阳县实际，制定本规定。</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本规定适用于开阳县行政辖区内烟草制品零售点（以下简称“零售点”）的合理布局管理。</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第三条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本规定所称零售点是指依法取得烟草专卖零售许可证的公民、法人或其他组织开展烟草制品零售业务的经营场所。</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第四条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本规定所称合理布局是指根据开阳县的人口、交通、经济水平、卷烟消费等情况，对零售点的设置进行规划布局。</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第五条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开阳县零售点合理布局遵循依法行政、科学规划、服务社会、均衡发展等原则。根据辖区经济社会发展变化，进行定期评估和动态管理。</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第六条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本规定所称单元格是指以乡镇行政区划、主要街道、行政村、居民小区、集贸市场等自然分割形成的平面区域为基础，按照相对独立、便于管理的标准划分的若干市场单元网格。</w:t>
      </w:r>
    </w:p>
    <w:p w:rsidR="00BD0870" w:rsidRPr="00BD0870" w:rsidRDefault="00BD0870" w:rsidP="00BD0870">
      <w:pPr>
        <w:widowControl/>
        <w:spacing w:line="404" w:lineRule="atLeast"/>
        <w:jc w:val="center"/>
        <w:rPr>
          <w:rFonts w:ascii="微软雅黑" w:eastAsia="微软雅黑" w:hAnsi="微软雅黑" w:cs="宋体" w:hint="eastAsia"/>
          <w:color w:val="000000"/>
          <w:kern w:val="0"/>
          <w:sz w:val="17"/>
          <w:szCs w:val="17"/>
        </w:rPr>
      </w:pPr>
      <w:r w:rsidRPr="00BD0870">
        <w:rPr>
          <w:rFonts w:ascii="宋体" w:eastAsia="宋体" w:hAnsi="宋体" w:cs="宋体" w:hint="eastAsia"/>
          <w:color w:val="000000"/>
          <w:kern w:val="0"/>
          <w:sz w:val="22"/>
        </w:rPr>
        <w:t> </w:t>
      </w:r>
    </w:p>
    <w:p w:rsidR="00BD0870" w:rsidRPr="00BD0870" w:rsidRDefault="00BD0870" w:rsidP="00BD0870">
      <w:pPr>
        <w:widowControl/>
        <w:spacing w:line="404" w:lineRule="atLeast"/>
        <w:jc w:val="center"/>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第二章</w:t>
      </w:r>
      <w:r w:rsidRPr="00BD0870">
        <w:rPr>
          <w:rFonts w:ascii="宋体" w:eastAsia="宋体" w:hAnsi="宋体" w:cs="宋体" w:hint="eastAsia"/>
          <w:color w:val="000000"/>
          <w:kern w:val="0"/>
          <w:sz w:val="22"/>
        </w:rPr>
        <w:t> </w:t>
      </w:r>
      <w:r w:rsidRPr="00BD0870">
        <w:rPr>
          <w:rFonts w:ascii="黑体" w:eastAsia="黑体" w:hAnsi="黑体" w:cs="黑体" w:hint="eastAsia"/>
          <w:color w:val="000000"/>
          <w:kern w:val="0"/>
          <w:sz w:val="22"/>
        </w:rPr>
        <w:t xml:space="preserve"> </w:t>
      </w:r>
      <w:r w:rsidRPr="00BD0870">
        <w:rPr>
          <w:rFonts w:ascii="黑体" w:eastAsia="黑体" w:hAnsi="黑体" w:cs="宋体" w:hint="eastAsia"/>
          <w:color w:val="000000"/>
          <w:kern w:val="0"/>
          <w:sz w:val="22"/>
        </w:rPr>
        <w:t>合理容量测算及单元格划分</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第七条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按照供需平衡原则，保持零售点设置与市场需求相适应，综合开阳县零售点设置现状、卷烟零售业务收益、烟草制品供给、卷烟市场需求、区域经济发展等情况，根据地方政府及烟草部门相关官方数据，运用市场容纳能力模型测算辖区零售点合理容量。</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经测算，2023年开阳县零售点合理容量为XXXX个。此合理容量即为2023年度零售点设置规划总量。对总量逐级进行分解，细化至三级单元格，作为各级单元格零售点设置数量上限，并向社会公布。零售点数量达到或超过设置数量上限的单元格，不再增设零售点，但符合本规定第十条、第十一条规定情形的除外。</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根据相关情况变化，每年对开阳县零售点合理容量进行测算，测算结果作为该年度零售点设置总量上限，向社会公布后实施。</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第八条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根据区域分割，将开阳县烟草制品零售市场划分为一级、二级、三级单元格。开阳县内，按街道、乡镇划分一级单元格。一级单元格内，按社区、行政村划分</w:t>
      </w:r>
      <w:r w:rsidRPr="00BD0870">
        <w:rPr>
          <w:rFonts w:ascii="仿宋_GB2312" w:eastAsia="仿宋_GB2312" w:hAnsi="微软雅黑" w:cs="宋体" w:hint="eastAsia"/>
          <w:color w:val="000000"/>
          <w:kern w:val="0"/>
          <w:sz w:val="22"/>
        </w:rPr>
        <w:lastRenderedPageBreak/>
        <w:t>二级单元格。二级单元格内，按道路、小区、集贸市场、村民组、商圈、路段等划分三级单元格。</w:t>
      </w:r>
    </w:p>
    <w:p w:rsidR="00BD0870" w:rsidRPr="00BD0870" w:rsidRDefault="00BD0870" w:rsidP="00BD0870">
      <w:pPr>
        <w:widowControl/>
        <w:shd w:val="clear" w:color="auto" w:fill="FFFFFF"/>
        <w:spacing w:line="404" w:lineRule="atLeast"/>
        <w:ind w:firstLine="445"/>
        <w:jc w:val="center"/>
        <w:rPr>
          <w:rFonts w:ascii="微软雅黑" w:eastAsia="微软雅黑" w:hAnsi="微软雅黑" w:cs="宋体" w:hint="eastAsia"/>
          <w:color w:val="000000"/>
          <w:kern w:val="0"/>
          <w:sz w:val="17"/>
          <w:szCs w:val="17"/>
        </w:rPr>
      </w:pPr>
      <w:r w:rsidRPr="00BD0870">
        <w:rPr>
          <w:rFonts w:ascii="宋体" w:eastAsia="宋体" w:hAnsi="宋体" w:cs="宋体" w:hint="eastAsia"/>
          <w:color w:val="000000"/>
          <w:kern w:val="0"/>
          <w:sz w:val="22"/>
        </w:rPr>
        <w:t> </w:t>
      </w:r>
    </w:p>
    <w:p w:rsidR="00BD0870" w:rsidRPr="00BD0870" w:rsidRDefault="00BD0870" w:rsidP="00BD0870">
      <w:pPr>
        <w:widowControl/>
        <w:shd w:val="clear" w:color="auto" w:fill="FFFFFF"/>
        <w:spacing w:line="404" w:lineRule="atLeast"/>
        <w:ind w:firstLine="445"/>
        <w:jc w:val="center"/>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第三章</w:t>
      </w:r>
      <w:r w:rsidRPr="00BD0870">
        <w:rPr>
          <w:rFonts w:ascii="宋体" w:eastAsia="宋体" w:hAnsi="宋体" w:cs="宋体" w:hint="eastAsia"/>
          <w:color w:val="000000"/>
          <w:kern w:val="0"/>
          <w:sz w:val="22"/>
        </w:rPr>
        <w:t> </w:t>
      </w:r>
      <w:r w:rsidRPr="00BD0870">
        <w:rPr>
          <w:rFonts w:ascii="黑体" w:eastAsia="黑体" w:hAnsi="黑体" w:cs="黑体" w:hint="eastAsia"/>
          <w:color w:val="000000"/>
          <w:kern w:val="0"/>
          <w:sz w:val="22"/>
        </w:rPr>
        <w:t xml:space="preserve"> </w:t>
      </w:r>
      <w:r w:rsidRPr="00BD0870">
        <w:rPr>
          <w:rFonts w:ascii="黑体" w:eastAsia="黑体" w:hAnsi="黑体" w:cs="宋体" w:hint="eastAsia"/>
          <w:color w:val="000000"/>
          <w:kern w:val="0"/>
          <w:sz w:val="22"/>
        </w:rPr>
        <w:t>合理布局的模式和标准</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第九条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在各三级单元格内，分类划分禁入、特殊和一般区域，分别采取不同的零售点布局模式。</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（一）禁入区域，指不予设置零售点的区域，包括：</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1.中小学校、幼儿园内部及周边；</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2.党政机关、医疗卫生机构内部；</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3.商用办公、民用住宅等楼宇内；</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4.法律、法规、规章规定或政府、国家烟草专卖行政主管部门规定禁止经营烟草制品的其他区域。</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（二）特殊区域，指相对独立、封闭的区域。该类区域采用数量上限的模式设置零售点，不受间距限制，但应符合所在三级单元格零售点设置数量上限要求。</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1.</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大专以上高等院校内，在该三级单元格有办证指标的情形下，人员数量1000人以内的可设置1个零售点，每增加1000人可增设1个零售点。</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2.星级以上酒店、高速公路服务区加油站便利店、高铁或汽车候车厅内、地下商场内、旅游区内、商场商铺、温泉度假村等场所设置1个零售点。</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3.住宅小区不足10栋的设置1个零售点，零售点设置在小区住宅第一层开放式门店，每增加10栋可增设1个零售点。凡属小区房产且毗邻街道的零售点，适用一般区域标准;小区内设置的零售点不作为小区外新设零售点的参照。</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4.批发市场、农贸市场：规模在80个摊位及门面以下（含80个）的设置1个零售点；规模在80个摊位及门面以上的，每超过80个摊位及门面可增设1个；最多不超过5个。</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三）一般区域，指除禁入、特殊区域以外的区域。该类区域采取数量上限、间距限制并行的形式设置零售点，即同时符合零售点设置数量上限和间距限制要求的，方可设置零售点。间距标准综合考量各区域零售点分布、消费购买便利及避免恶性竞争等因素确定。（间距标准详见附件1。）</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符合以下情形，持有的烟草专卖零售许可证办理注销或歇业，并于当日按原经营地址重新申请领取许可证的，不受所在单元格零售点设置数量上限和间距限制，但申请人已享受第十二条规定、经营地址位于第九条规定的禁入区域或具有第十三条规定情形的除外。</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（一）因个体工商户转型为企业的;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（二）企业类型改变的;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（三）企业内部转制改变经营主体的;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（四）在父母、配偶、子女及其配偶之间改变经营主体的;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（五）经营主体为自然人，因自然人死亡或丧失民事行为能力，持有的烟草专卖零售许可证注销，其配偶、父母或子女同时在原经营地址重新申领烟草专卖零售许可证的;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（六）因法院判决、法人或其他组织分立、合并等原因改变经营主体的；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（七）符合《烟草专卖许可证管理办法》第六十三条规定情形的；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八）持有烟草专卖零售许可证的零售户因自身经营原因办理歇业，其他申请人于当日在原经营地址申请领取烟草专卖零售许可证的。但原许可证系享受相关特殊照顾政策办理或持有原许可证正常经营卷烟时间不足两年的除外。</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第十一条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符合下列情形之一的，不受所在单元格零售点设置数量上限和间距限制，但申请经营地址位于第九条规定的禁入区域或具有第十三条规定情形的除外。</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（一）因经营地址变化重新申领或变更烟草专卖零售许可证的。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1.因道路规划、城市建设等客观原因造成无法在核定经营地址经营，烟草专卖零售许可证持证人办理歇业后6个月内申请或者直接变更到开阳县辖区内其他地址经营的；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2.经营场所位于中小学校、幼儿园内部及周边的烟草专卖零售许可证持证人，积极配合烟草部门落实有关法律法规要求的清理整治工作，办理歇业后6个月内申请或者直接变更到开阳县辖区内其他地址经营的。</w:t>
      </w:r>
    </w:p>
    <w:p w:rsidR="00BD0870" w:rsidRPr="00BD0870" w:rsidRDefault="00BD0870" w:rsidP="00BD0870">
      <w:pPr>
        <w:widowControl/>
        <w:shd w:val="clear" w:color="auto" w:fill="FFFFFF"/>
        <w:spacing w:line="383"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（二）经营面积500平方米以上的超市，可设置1个零售点；集餐饮、住宿、娱乐一体的酒店、宾馆且客房数在100间以上的，可设置1个零售点。</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（三）烈士遗属（凭烈士证），首次申领烟草专卖零售许可证的。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第十二条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持有个体工商户工商营业执照，有以下情形之一，首次申领烟草专卖零售许可证的，受所在单元格零售点数量上限限制，但间距要求可放宽至原标准的60%。</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（一）残疾人（凭残疾证）；</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（二）退役军人（凭转业或退伍军人证件，自发证之日起两年内有效）；</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（三）低保户（凭低保证）。</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第十三条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有下列情形之一的，不予核发烟草专卖零售许可证设置零售点。</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楷体_GB2312" w:eastAsia="楷体_GB2312" w:hAnsi="微软雅黑" w:cs="宋体" w:hint="eastAsia"/>
          <w:color w:val="000000"/>
          <w:kern w:val="0"/>
          <w:sz w:val="22"/>
        </w:rPr>
        <w:t>（一）申请主体资格方面</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1.未成年人、无民事行为能力人或限制民事行为能力人；</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2.被取消从事烟草专卖业务资格不满三年的；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3.申请人隐瞒有关情况或者提供虚假材料，作出不予受理或者不予发证决定后，申请人一年内再次提出申请的；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4.申请人以欺骗、贿赂等不正当手段取得的烟草专卖零售许可证被撤销后，申请人三年内再次提出申请的；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5.未领取烟草专卖零售许可证经营烟草专卖品业务,并且一年内被执法机关处罚两次以上,在三年内申请领取烟草专卖零售许可证的;</w:t>
      </w:r>
    </w:p>
    <w:p w:rsidR="00BD0870" w:rsidRPr="00BD0870" w:rsidRDefault="00BD0870" w:rsidP="00BD0870">
      <w:pPr>
        <w:widowControl/>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6.未领取烟草专卖零售许可证经营烟草专卖品业务被追究刑事责任，在三年内申领烟草专卖零售许可证的；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7.外商投资的商业企业或者个体工商户，又或以特许、吸纳加盟店等其他外商再投资形式变相经营的，但国家烟草专卖行政主管部门明文规定的例外情形除外；</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8.未取得工商营业执照的。</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楷体_GB2312" w:eastAsia="楷体_GB2312" w:hAnsi="微软雅黑" w:cs="宋体" w:hint="eastAsia"/>
          <w:color w:val="000000"/>
          <w:kern w:val="0"/>
          <w:sz w:val="22"/>
        </w:rPr>
        <w:t>（二）经营场所条件方面</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1.无固定经营场所的；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2.经营场所与住所不相独立的；</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3.经营场所存放化工燃料、化肥农药、医药废物、重金属废物、油漆胶水、烟花爆竹、有机溶剂等易燃易爆、有毒有害、易挥发造成烟草制品污染的物质或者从事相关经营，基于安全因素不适宜经营烟草制品的；</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4.未形成相对独立的实际商品对外展卖场所，或不具备对外经营烟草制品的陈列、展卖等基本设施和必要条件的；</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5.同一经营场所已办理烟草专卖零售许可证，且还在有效期内的；</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6.以未成年人为服务对象的经营场所内部，如：以未成年人为培训对象的各种培训机构、室内游乐场所，未成年人托育机构等。</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楷体_GB2312" w:eastAsia="楷体_GB2312" w:hAnsi="微软雅黑" w:cs="宋体" w:hint="eastAsia"/>
          <w:color w:val="000000"/>
          <w:kern w:val="0"/>
          <w:sz w:val="22"/>
        </w:rPr>
        <w:t>（三）经营业态模式方面</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1.利用自动售货机（柜）或者其他自动售货形式，销售或者变相销售烟草制品的；</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2.通过信息网络销售烟草制品的；</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3.不能有效识别未成年人，无有效措施限制未成年人购买烟草制品的无人超市、无人商店等；</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4.主营业务为五金建材、建筑装潢、美容美发、按摩推拿、药妆医械、文化体育、音像制品、家电家具、通信器材、金融证券、仪器仪表、金银珠宝、修理修配、寄递配送、洗涤护理、服装制售、中介劳务、寄卖典当、汽车租赁、图文印刷、机耕农具等专业性较强，与烟草制品零售业务没有直接或间接互补营销关系的业态类型。</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（四）有关法律、法规、规章和国家烟草专卖行政主管部门规定的其他不予核发烟草专卖零售许可证设置零售点的情形。</w:t>
      </w:r>
    </w:p>
    <w:p w:rsidR="00BD0870" w:rsidRPr="00BD0870" w:rsidRDefault="00BD0870" w:rsidP="00BD0870">
      <w:pPr>
        <w:widowControl/>
        <w:spacing w:line="404" w:lineRule="atLeast"/>
        <w:jc w:val="center"/>
        <w:rPr>
          <w:rFonts w:ascii="微软雅黑" w:eastAsia="微软雅黑" w:hAnsi="微软雅黑" w:cs="宋体" w:hint="eastAsia"/>
          <w:color w:val="000000"/>
          <w:kern w:val="0"/>
          <w:sz w:val="17"/>
          <w:szCs w:val="17"/>
        </w:rPr>
      </w:pPr>
      <w:r w:rsidRPr="00BD0870">
        <w:rPr>
          <w:rFonts w:ascii="宋体" w:eastAsia="宋体" w:hAnsi="宋体" w:cs="宋体" w:hint="eastAsia"/>
          <w:color w:val="000000"/>
          <w:kern w:val="0"/>
          <w:sz w:val="22"/>
        </w:rPr>
        <w:t> </w:t>
      </w:r>
    </w:p>
    <w:p w:rsidR="00BD0870" w:rsidRPr="00BD0870" w:rsidRDefault="00BD0870" w:rsidP="00BD0870">
      <w:pPr>
        <w:widowControl/>
        <w:spacing w:line="404" w:lineRule="atLeast"/>
        <w:jc w:val="center"/>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第四章</w:t>
      </w:r>
      <w:r w:rsidRPr="00BD0870">
        <w:rPr>
          <w:rFonts w:ascii="宋体" w:eastAsia="宋体" w:hAnsi="宋体" w:cs="宋体" w:hint="eastAsia"/>
          <w:color w:val="000000"/>
          <w:kern w:val="0"/>
          <w:sz w:val="22"/>
        </w:rPr>
        <w:t> </w:t>
      </w:r>
      <w:r w:rsidRPr="00BD0870">
        <w:rPr>
          <w:rFonts w:ascii="黑体" w:eastAsia="黑体" w:hAnsi="黑体" w:cs="黑体" w:hint="eastAsia"/>
          <w:color w:val="000000"/>
          <w:kern w:val="0"/>
          <w:sz w:val="22"/>
        </w:rPr>
        <w:t xml:space="preserve"> </w:t>
      </w:r>
      <w:r w:rsidRPr="00BD0870">
        <w:rPr>
          <w:rFonts w:ascii="黑体" w:eastAsia="黑体" w:hAnsi="黑体" w:cs="宋体" w:hint="eastAsia"/>
          <w:color w:val="000000"/>
          <w:kern w:val="0"/>
          <w:sz w:val="22"/>
        </w:rPr>
        <w:t>布局规划及办理的公开</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第十四条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开阳县烟草专卖局根据当地经济社会、市场变化等情况，每半年可对市场单元格划分及单元格零售点设置数量上限的规划进行适当调整，调整情况向社会公布后实施。</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（一）调整内容应明确具体生效时间，并在生效前至少提前10个工作日向社会公布。</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（二）调整情况通过开阳县人民政府网进行公布，并通过开阳县政务服务网、开阳县政务服务窗口（开阳县烟草专卖局办公场所公示栏）、本单位（上级单位）对外门户网站或官方公众号等多渠道进行公示。</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第十五条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为保障公正公平公开，以3个月为办证批次周期，每3个月将各级单元格内可申请设置的零售点数量资源提前向社会公布后，统一时间集中开放申办。</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开阳县烟草专卖局在每个办证批次周期开始前，应当提前至少3个工作日，公布各级单元格零售点设置数量上限、现有零售点数量、本期可增设零售点数量（附件2），并明确本期申办的开始时间和结束时间。</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第十六条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本期申办开始后至结束时间前提交的新办申请，按照先申请先受理、先受理先办理的原则，在本期可增设零售点数量范围内审批办理。</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本期申办开始前提交的新办申请，按上一周期公布的单元格可设置零售点数量资源执行。在提前公示期内提交新办申请，导致已公布的下一周期可设置零售点数量资源实际减少的，应及时发布补充公告解释说明。</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符合本规定第十条、第十一条规定情形的，应及时办理，不受办证批次周期有关规则限制。</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第十七条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除落实日常行政公示有关要求外，在每个办证批次周期结束后，开阳县烟草专卖局应当及时通过开阳县政务服务网、开阳县政务服务窗口（开阳县烟草专卖局办公场所公示栏）、本单位（上级单位）对外门户网站或官方公众号等渠道，公示本周期各级单元格的可增设零售点数量、准予新办许可结果明细、本期末零售点数量，以及本期注销、歇业、收回许可证数量等情况（附件3）。</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按本规定第十条规定情形办理注销、歇业及新办的，应专门备注说明。</w:t>
      </w:r>
    </w:p>
    <w:p w:rsidR="00BD0870" w:rsidRPr="00BD0870" w:rsidRDefault="00BD0870" w:rsidP="00BD0870">
      <w:pPr>
        <w:widowControl/>
        <w:spacing w:line="404" w:lineRule="atLeast"/>
        <w:ind w:firstLine="445"/>
        <w:jc w:val="center"/>
        <w:rPr>
          <w:rFonts w:ascii="微软雅黑" w:eastAsia="微软雅黑" w:hAnsi="微软雅黑" w:cs="宋体" w:hint="eastAsia"/>
          <w:color w:val="000000"/>
          <w:kern w:val="0"/>
          <w:sz w:val="17"/>
          <w:szCs w:val="17"/>
        </w:rPr>
      </w:pPr>
      <w:r w:rsidRPr="00BD0870">
        <w:rPr>
          <w:rFonts w:ascii="宋体" w:eastAsia="宋体" w:hAnsi="宋体" w:cs="宋体" w:hint="eastAsia"/>
          <w:color w:val="000000"/>
          <w:kern w:val="0"/>
          <w:sz w:val="22"/>
        </w:rPr>
        <w:t> </w:t>
      </w:r>
    </w:p>
    <w:p w:rsidR="00BD0870" w:rsidRPr="00BD0870" w:rsidRDefault="00BD0870" w:rsidP="00BD0870">
      <w:pPr>
        <w:widowControl/>
        <w:spacing w:line="404" w:lineRule="atLeast"/>
        <w:ind w:firstLine="445"/>
        <w:jc w:val="center"/>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第五章</w:t>
      </w:r>
      <w:r w:rsidRPr="00BD0870">
        <w:rPr>
          <w:rFonts w:ascii="宋体" w:eastAsia="宋体" w:hAnsi="宋体" w:cs="宋体" w:hint="eastAsia"/>
          <w:color w:val="000000"/>
          <w:kern w:val="0"/>
          <w:sz w:val="22"/>
        </w:rPr>
        <w:t> </w:t>
      </w:r>
      <w:r w:rsidRPr="00BD0870">
        <w:rPr>
          <w:rFonts w:ascii="黑体" w:eastAsia="黑体" w:hAnsi="黑体" w:cs="黑体" w:hint="eastAsia"/>
          <w:color w:val="000000"/>
          <w:kern w:val="0"/>
          <w:sz w:val="22"/>
        </w:rPr>
        <w:t xml:space="preserve"> </w:t>
      </w:r>
      <w:r w:rsidRPr="00BD0870">
        <w:rPr>
          <w:rFonts w:ascii="黑体" w:eastAsia="黑体" w:hAnsi="黑体" w:cs="宋体" w:hint="eastAsia"/>
          <w:color w:val="000000"/>
          <w:kern w:val="0"/>
          <w:sz w:val="22"/>
        </w:rPr>
        <w:t>附</w:t>
      </w:r>
      <w:r w:rsidRPr="00BD0870">
        <w:rPr>
          <w:rFonts w:ascii="宋体" w:eastAsia="宋体" w:hAnsi="宋体" w:cs="宋体" w:hint="eastAsia"/>
          <w:color w:val="000000"/>
          <w:kern w:val="0"/>
          <w:sz w:val="22"/>
        </w:rPr>
        <w:t> </w:t>
      </w:r>
      <w:r w:rsidRPr="00BD0870">
        <w:rPr>
          <w:rFonts w:ascii="黑体" w:eastAsia="黑体" w:hAnsi="黑体" w:cs="黑体" w:hint="eastAsia"/>
          <w:color w:val="000000"/>
          <w:kern w:val="0"/>
          <w:sz w:val="22"/>
        </w:rPr>
        <w:t xml:space="preserve"> </w:t>
      </w:r>
      <w:r w:rsidRPr="00BD0870">
        <w:rPr>
          <w:rFonts w:ascii="黑体" w:eastAsia="黑体" w:hAnsi="黑体" w:cs="宋体" w:hint="eastAsia"/>
          <w:color w:val="000000"/>
          <w:kern w:val="0"/>
          <w:sz w:val="22"/>
        </w:rPr>
        <w:t>则</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第十八条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本规定中“以上”“以内”均包含本数。</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第十九条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本规定中“与住所相独立”是指经营场所与住所之间使用砖墙、钢筋混凝土墙或木结构等材料完全隔离。</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不能将经营、仓储区域完全隔离的，如：前后、左右、上下与门相通的隔间、阁楼、仓库等，均视其为经营场所。</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第二十条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中“固定经营场所”是指已建成使用的房屋，并且应为使用砖、木、钢结构等材料筑成的独立且不可移动的场所，具备经营烟草制品相适应的商品展卖和存储条件；固定经营场所不包括临时建筑、流动性或季节性摊点、集装箱、车库、地下室、停车场内、储藏室等场所。</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营业执照地址涵盖地域范围较广，或一个营业执照对应多个经营场所的，由开阳县烟草专卖局根据实际情况认定其办理烟草专卖零售许可证的具体经营地址。</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第二十一条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本规定中的中小学校，是指普通中小学校、特殊教育学校、中等职业学校、专门学校等以未成年人为教育对象的学校。幼儿园是指取得教育行政主管部门许可设立的幼儿园。</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第二十二条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中的“中小学校、幼儿园周边”，是指中小学校、幼儿园进出通道（不包括非常规通行的消防通道、应急通道等）口向外延伸步行最短距离（符合交通安全法规前提下）50米及直线距离30米以内的经营场所，但直线距离小于30米，同时步行最短距离超出100米的除外。</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距离测量起点与终点为中小学校、幼儿园进出通道口中心点与经营场所进出口中心点。中小学校、幼儿园或经营场所有两个及以上进出通道口的，以两者间距最近的进出通道口中心点为测量基点。</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第二十三条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中的“间距”是指拟申请零售点与相距最近的持证零售点之间的距离，其起点与终点为拟申请零售点进出通道口中心点与持证零售点经营场所进出口中心点。申请人经营场所有多个出入口的，以其与相距最近的持证零售点距离最短的出入口为准进行测量。</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距离测量应当按照《中华人民共和国道路交通安全法》和《中华人民共和国道路交通安全法实施条例》中有关行人道路通行的规定。</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第二十四条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本规定中烟草制品零售点经营场所在实地勘验测量时按照开阳县烟草制品零售点经营场所勘验测量标准进行实地勘验测量（附件4）。</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第二十五条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相关法律法规或国家烟草专卖行政主管部门政策文件另有规定的，从其规定。</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第二十六条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本规定由开阳县烟草专卖局负责解释。</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宋体" w:eastAsia="宋体" w:hAnsi="宋体" w:cs="宋体" w:hint="eastAsia"/>
          <w:color w:val="000000"/>
          <w:kern w:val="0"/>
          <w:sz w:val="22"/>
        </w:rPr>
        <w:t>    </w:t>
      </w:r>
      <w:r w:rsidRPr="00BD0870">
        <w:rPr>
          <w:rFonts w:ascii="黑体" w:eastAsia="黑体" w:hAnsi="黑体" w:cs="宋体" w:hint="eastAsia"/>
          <w:color w:val="000000"/>
          <w:kern w:val="0"/>
          <w:sz w:val="22"/>
        </w:rPr>
        <w:t>第二十七条</w:t>
      </w:r>
      <w:r w:rsidRPr="00BD0870">
        <w:rPr>
          <w:rFonts w:ascii="宋体" w:eastAsia="宋体" w:hAnsi="宋体" w:cs="宋体" w:hint="eastAsia"/>
          <w:color w:val="000000"/>
          <w:kern w:val="0"/>
          <w:sz w:val="22"/>
        </w:rPr>
        <w:t>  </w:t>
      </w:r>
      <w:r w:rsidRPr="00BD0870">
        <w:rPr>
          <w:rFonts w:ascii="仿宋_GB2312" w:eastAsia="仿宋_GB2312" w:hAnsi="微软雅黑" w:cs="宋体" w:hint="eastAsia"/>
          <w:color w:val="000000"/>
          <w:kern w:val="0"/>
          <w:sz w:val="22"/>
        </w:rPr>
        <w:t>本规定自X年X月X日起施行，原《开阳县烟草制品零售点合理布局规定》（开烟专〔2021〕1号）同时废止。</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Calibri" w:eastAsia="微软雅黑" w:hAnsi="Calibri" w:cs="Calibri"/>
          <w:color w:val="000000"/>
          <w:kern w:val="0"/>
          <w:sz w:val="15"/>
          <w:szCs w:val="15"/>
        </w:rPr>
        <w:br/>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7"/>
          <w:szCs w:val="17"/>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Calibri" w:eastAsia="微软雅黑" w:hAnsi="Calibri" w:cs="Calibri"/>
          <w:color w:val="000000"/>
          <w:kern w:val="0"/>
          <w:sz w:val="15"/>
          <w:szCs w:val="15"/>
        </w:rPr>
        <w:br/>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附件1</w:t>
      </w:r>
    </w:p>
    <w:p w:rsidR="00BD0870" w:rsidRPr="00BD0870" w:rsidRDefault="00BD0870" w:rsidP="00BD0870">
      <w:pPr>
        <w:widowControl/>
        <w:jc w:val="center"/>
        <w:rPr>
          <w:rFonts w:ascii="微软雅黑" w:eastAsia="微软雅黑" w:hAnsi="微软雅黑" w:cs="宋体" w:hint="eastAsia"/>
          <w:color w:val="000000"/>
          <w:kern w:val="0"/>
          <w:sz w:val="17"/>
          <w:szCs w:val="17"/>
        </w:rPr>
      </w:pPr>
      <w:r w:rsidRPr="00BD0870">
        <w:rPr>
          <w:rFonts w:ascii="方正小标宋简体" w:eastAsia="方正小标宋简体" w:hAnsi="微软雅黑" w:cs="宋体" w:hint="eastAsia"/>
          <w:color w:val="000000"/>
          <w:kern w:val="0"/>
          <w:sz w:val="30"/>
          <w:szCs w:val="30"/>
        </w:rPr>
        <w:t>开阳县烟草制品零售点布局规划表</w:t>
      </w:r>
    </w:p>
    <w:p w:rsidR="00BD0870" w:rsidRPr="00BD0870" w:rsidRDefault="00BD0870" w:rsidP="00BD0870">
      <w:pPr>
        <w:widowControl/>
        <w:jc w:val="center"/>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9"/>
          <w:szCs w:val="19"/>
        </w:rPr>
        <w:t>（2023年/上、下半年）</w:t>
      </w:r>
    </w:p>
    <w:tbl>
      <w:tblPr>
        <w:tblW w:w="0" w:type="auto"/>
        <w:tblCellMar>
          <w:left w:w="0" w:type="dxa"/>
          <w:right w:w="0" w:type="dxa"/>
        </w:tblCellMar>
        <w:tblLook w:val="04A0"/>
      </w:tblPr>
      <w:tblGrid>
        <w:gridCol w:w="447"/>
        <w:gridCol w:w="1006"/>
        <w:gridCol w:w="1071"/>
        <w:gridCol w:w="903"/>
        <w:gridCol w:w="1166"/>
        <w:gridCol w:w="1181"/>
        <w:gridCol w:w="1181"/>
        <w:gridCol w:w="787"/>
        <w:gridCol w:w="710"/>
      </w:tblGrid>
      <w:tr w:rsidR="00BD0870" w:rsidRPr="00BD0870" w:rsidTr="00BD0870">
        <w:trPr>
          <w:trHeight w:val="311"/>
        </w:trPr>
        <w:tc>
          <w:tcPr>
            <w:tcW w:w="0" w:type="auto"/>
            <w:vMerge w:val="restart"/>
            <w:tcBorders>
              <w:top w:val="single" w:sz="4" w:space="0" w:color="auto"/>
              <w:left w:val="single" w:sz="4" w:space="0" w:color="auto"/>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序号</w:t>
            </w:r>
          </w:p>
        </w:tc>
        <w:tc>
          <w:tcPr>
            <w:tcW w:w="0" w:type="auto"/>
            <w:gridSpan w:val="3"/>
            <w:tcBorders>
              <w:top w:val="single" w:sz="4" w:space="0" w:color="auto"/>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单元格名称</w:t>
            </w:r>
          </w:p>
        </w:tc>
        <w:tc>
          <w:tcPr>
            <w:tcW w:w="0" w:type="auto"/>
            <w:vMerge w:val="restart"/>
            <w:tcBorders>
              <w:top w:val="single" w:sz="4" w:space="0" w:color="auto"/>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三级单元格范围</w:t>
            </w:r>
          </w:p>
        </w:tc>
        <w:tc>
          <w:tcPr>
            <w:tcW w:w="0" w:type="auto"/>
            <w:vMerge w:val="restart"/>
            <w:tcBorders>
              <w:top w:val="single" w:sz="4" w:space="0" w:color="auto"/>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零售点规划数量</w:t>
            </w:r>
          </w:p>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（个）</w:t>
            </w:r>
          </w:p>
        </w:tc>
        <w:tc>
          <w:tcPr>
            <w:tcW w:w="0" w:type="auto"/>
            <w:vMerge w:val="restart"/>
            <w:tcBorders>
              <w:top w:val="single" w:sz="4" w:space="0" w:color="auto"/>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现有零售点数量</w:t>
            </w:r>
          </w:p>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（个）</w:t>
            </w:r>
          </w:p>
        </w:tc>
        <w:tc>
          <w:tcPr>
            <w:tcW w:w="0" w:type="auto"/>
            <w:vMerge w:val="restart"/>
            <w:tcBorders>
              <w:top w:val="single" w:sz="4" w:space="0" w:color="auto"/>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办证指标</w:t>
            </w:r>
          </w:p>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（个）</w:t>
            </w:r>
          </w:p>
        </w:tc>
        <w:tc>
          <w:tcPr>
            <w:tcW w:w="0" w:type="auto"/>
            <w:vMerge w:val="restart"/>
            <w:tcBorders>
              <w:top w:val="single" w:sz="4" w:space="0" w:color="auto"/>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间距标准</w:t>
            </w:r>
          </w:p>
        </w:tc>
      </w:tr>
      <w:tr w:rsidR="00BD0870" w:rsidRPr="00BD0870" w:rsidTr="00BD0870">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一级单元格</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二级单元格</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三级单元格</w:t>
            </w:r>
          </w:p>
        </w:tc>
        <w:tc>
          <w:tcPr>
            <w:tcW w:w="0" w:type="auto"/>
            <w:vMerge/>
            <w:tcBorders>
              <w:top w:val="single" w:sz="4" w:space="0" w:color="auto"/>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single" w:sz="4" w:space="0" w:color="auto"/>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single" w:sz="4" w:space="0" w:color="auto"/>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single" w:sz="4" w:space="0" w:color="auto"/>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single" w:sz="4" w:space="0" w:color="auto"/>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r>
      <w:tr w:rsidR="00BD0870" w:rsidRPr="00BD0870" w:rsidTr="00BD0870">
        <w:tc>
          <w:tcPr>
            <w:tcW w:w="0" w:type="auto"/>
            <w:tcBorders>
              <w:top w:val="nil"/>
              <w:left w:val="single" w:sz="4" w:space="0" w:color="auto"/>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例</w:t>
            </w:r>
          </w:p>
        </w:tc>
        <w:tc>
          <w:tcPr>
            <w:tcW w:w="0" w:type="auto"/>
            <w:vMerge w:val="restart"/>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XX镇/街道/乡</w:t>
            </w:r>
          </w:p>
        </w:tc>
        <w:tc>
          <w:tcPr>
            <w:tcW w:w="0" w:type="auto"/>
            <w:vMerge w:val="restart"/>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XX社区/行政村</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XX村名组</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b/>
                <w:bCs/>
                <w:color w:val="000000"/>
                <w:kern w:val="0"/>
                <w:sz w:val="22"/>
              </w:rPr>
              <w:t>……</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X米</w:t>
            </w:r>
          </w:p>
        </w:tc>
      </w:tr>
      <w:tr w:rsidR="00BD0870" w:rsidRPr="00BD0870" w:rsidTr="00BD0870">
        <w:tc>
          <w:tcPr>
            <w:tcW w:w="0" w:type="auto"/>
            <w:tcBorders>
              <w:top w:val="nil"/>
              <w:left w:val="single" w:sz="4" w:space="0" w:color="auto"/>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XX路段</w:t>
            </w: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b/>
                <w:bCs/>
                <w:color w:val="000000"/>
                <w:kern w:val="0"/>
                <w:sz w:val="22"/>
              </w:rPr>
              <w:t>……</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X米</w:t>
            </w:r>
          </w:p>
        </w:tc>
      </w:tr>
      <w:tr w:rsidR="00BD0870" w:rsidRPr="00BD0870" w:rsidTr="00BD0870">
        <w:tc>
          <w:tcPr>
            <w:tcW w:w="0" w:type="auto"/>
            <w:tcBorders>
              <w:top w:val="nil"/>
              <w:left w:val="single" w:sz="4" w:space="0" w:color="auto"/>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b/>
                <w:bCs/>
                <w:color w:val="000000"/>
                <w:kern w:val="0"/>
                <w:sz w:val="22"/>
              </w:rPr>
              <w:t>……</w:t>
            </w: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c>
          <w:tcPr>
            <w:tcW w:w="0" w:type="auto"/>
            <w:tcBorders>
              <w:top w:val="nil"/>
              <w:left w:val="single" w:sz="4" w:space="0" w:color="auto"/>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val="restart"/>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XX社区/行政村</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XX村名组</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b/>
                <w:bCs/>
                <w:color w:val="000000"/>
                <w:kern w:val="0"/>
                <w:sz w:val="22"/>
              </w:rPr>
              <w:t>……</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X米</w:t>
            </w:r>
          </w:p>
        </w:tc>
      </w:tr>
      <w:tr w:rsidR="00BD0870" w:rsidRPr="00BD0870" w:rsidTr="00BD0870">
        <w:tc>
          <w:tcPr>
            <w:tcW w:w="0" w:type="auto"/>
            <w:tcBorders>
              <w:top w:val="nil"/>
              <w:left w:val="single" w:sz="4" w:space="0" w:color="auto"/>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XX路段</w:t>
            </w: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b/>
                <w:bCs/>
                <w:color w:val="000000"/>
                <w:kern w:val="0"/>
                <w:sz w:val="22"/>
              </w:rPr>
              <w:t>……</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A-B</w:t>
            </w: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黑体" w:eastAsia="黑体" w:hAnsi="黑体" w:cs="宋体" w:hint="eastAsia"/>
                <w:color w:val="000000"/>
                <w:kern w:val="0"/>
                <w:sz w:val="17"/>
                <w:szCs w:val="17"/>
              </w:rPr>
              <w:t>X米</w:t>
            </w:r>
          </w:p>
        </w:tc>
      </w:tr>
      <w:tr w:rsidR="00BD0870" w:rsidRPr="00BD0870" w:rsidTr="00BD0870">
        <w:tc>
          <w:tcPr>
            <w:tcW w:w="0" w:type="auto"/>
            <w:tcBorders>
              <w:top w:val="nil"/>
              <w:left w:val="single" w:sz="4" w:space="0" w:color="auto"/>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auto"/>
              <w:right w:val="single" w:sz="4" w:space="0" w:color="auto"/>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b/>
                <w:bCs/>
                <w:color w:val="000000"/>
                <w:kern w:val="0"/>
                <w:sz w:val="22"/>
              </w:rPr>
              <w:t>……</w:t>
            </w: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c>
          <w:tcPr>
            <w:tcW w:w="0" w:type="auto"/>
            <w:tcBorders>
              <w:top w:val="nil"/>
              <w:left w:val="single" w:sz="4" w:space="0" w:color="auto"/>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spacing w:line="166" w:lineRule="atLeast"/>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17"/>
                <w:szCs w:val="17"/>
              </w:rPr>
              <w:t>合计</w:t>
            </w: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0" w:type="auto"/>
            <w:tcBorders>
              <w:top w:val="nil"/>
              <w:left w:val="nil"/>
              <w:bottom w:val="single" w:sz="4" w:space="0" w:color="auto"/>
              <w:right w:val="single" w:sz="4" w:space="0" w:color="auto"/>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bl>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注：本规划表自x年x月x日x时x分起生效。</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附件2-1</w:t>
      </w:r>
    </w:p>
    <w:p w:rsidR="00BD0870" w:rsidRPr="00BD0870" w:rsidRDefault="00BD0870" w:rsidP="00BD0870">
      <w:pPr>
        <w:widowControl/>
        <w:jc w:val="center"/>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开阳县2023年第一期烟草专卖零售许可证新办业务公告</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依据《开阳县烟草制品零售点合理布局规定》，综合开阳县零售点设置现状、卷烟零售业务收益、烟草制品供给、卷烟市场需求、区域经济发展等情况，根据地方政府及烟草部门相关官方数据，我局测定2023年度烟草制品零售点设置总量上限,并以1至3个月为办证批次周期，统一时间集中开放申办。现将2023年第一期烟草专卖零售许可证新办业务有关事项公告如下：</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一、申办时间</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本期申办时间：x年x月x日x时x分至x年x月x日x时x分。</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本期申办开始后至结束时间前提交的新办申请，按照先申请先受理、先受理先办理的原则，在本期可增设零售点数量范围内审批办理。</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二、申请方式及渠道</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线上申请。通过国家烟草专卖局政务服务行政许可网上办理平台（网址：http://www.tobacco.gov.cn/gjyc/bsfw/bsfw.shtml）、贵州政务服务网（网址：https://zwfw.guizhou.gov.cn/520103/index.html）、贵州多彩宝手机APP等政府向社会公布的便民服务网络平台在线提出申请。</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（二）现场提出申请。在开阳县政务服务中心提出申请。</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三、其他事项</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（一）符合《开阳县烟草制品零售点合理布局规定》第十条、第十一条规定情形的，不受办证批次周期有关规则限制。</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二）本期申办开始前提交的新办申请，按上一周期公布的单元格可设置零售点数量资源执行。在提前公示期内提交新办申请，导致已公布的下一周期可设置零售点数量资源实际减少的，另行发布补充公告解释说明。</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（三）开阳县烟草专卖局咨询电话：0851-87221096；监督电话： 12313。</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以上未尽事宜，由开阳县烟草专卖局负责解释。</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附件：开阳县2023年第一期烟草制品零售点可设置数量分配表</w:t>
      </w:r>
    </w:p>
    <w:p w:rsidR="00BD0870" w:rsidRPr="00BD0870" w:rsidRDefault="00BD0870" w:rsidP="00BD0870">
      <w:pPr>
        <w:widowControl/>
        <w:ind w:firstLine="332"/>
        <w:jc w:val="righ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开阳县烟草专卖局</w:t>
      </w:r>
    </w:p>
    <w:p w:rsidR="00BD0870" w:rsidRPr="00BD0870" w:rsidRDefault="00BD0870" w:rsidP="00BD0870">
      <w:pPr>
        <w:widowControl/>
        <w:ind w:firstLine="332"/>
        <w:jc w:val="righ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XX年XX月XX日</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9"/>
          <w:szCs w:val="19"/>
        </w:rPr>
        <w:t>附件：2-2</w:t>
      </w:r>
    </w:p>
    <w:tbl>
      <w:tblPr>
        <w:tblW w:w="9285" w:type="dxa"/>
        <w:tblCellMar>
          <w:left w:w="0" w:type="dxa"/>
          <w:right w:w="0" w:type="dxa"/>
        </w:tblCellMar>
        <w:tblLook w:val="04A0"/>
      </w:tblPr>
      <w:tblGrid>
        <w:gridCol w:w="526"/>
        <w:gridCol w:w="813"/>
        <w:gridCol w:w="948"/>
        <w:gridCol w:w="993"/>
        <w:gridCol w:w="873"/>
        <w:gridCol w:w="1475"/>
        <w:gridCol w:w="918"/>
        <w:gridCol w:w="993"/>
        <w:gridCol w:w="873"/>
        <w:gridCol w:w="873"/>
      </w:tblGrid>
      <w:tr w:rsidR="00BD0870" w:rsidRPr="00BD0870" w:rsidTr="00BD0870">
        <w:trPr>
          <w:trHeight w:val="912"/>
        </w:trPr>
        <w:tc>
          <w:tcPr>
            <w:tcW w:w="525" w:type="dxa"/>
            <w:tcBorders>
              <w:top w:val="single" w:sz="4" w:space="0" w:color="333333"/>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序号</w:t>
            </w:r>
          </w:p>
        </w:tc>
        <w:tc>
          <w:tcPr>
            <w:tcW w:w="81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一级单元格</w:t>
            </w:r>
          </w:p>
        </w:tc>
        <w:tc>
          <w:tcPr>
            <w:tcW w:w="945"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零售点设置数量上限（个）</w:t>
            </w:r>
          </w:p>
        </w:tc>
        <w:tc>
          <w:tcPr>
            <w:tcW w:w="99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二级单元格</w:t>
            </w:r>
          </w:p>
        </w:tc>
        <w:tc>
          <w:tcPr>
            <w:tcW w:w="87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零售点设置数量上限（个）</w:t>
            </w:r>
          </w:p>
        </w:tc>
        <w:tc>
          <w:tcPr>
            <w:tcW w:w="147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三级单元格</w:t>
            </w:r>
          </w:p>
        </w:tc>
        <w:tc>
          <w:tcPr>
            <w:tcW w:w="915"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零售点设置数量上限（个）</w:t>
            </w:r>
          </w:p>
        </w:tc>
        <w:tc>
          <w:tcPr>
            <w:tcW w:w="99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现有</w:t>
            </w:r>
            <w:r w:rsidRPr="00BD0870">
              <w:rPr>
                <w:rFonts w:ascii="微软雅黑" w:eastAsia="微软雅黑" w:hAnsi="微软雅黑" w:cs="宋体" w:hint="eastAsia"/>
                <w:color w:val="000000"/>
                <w:kern w:val="0"/>
                <w:sz w:val="16"/>
              </w:rPr>
              <w:t>零售网点</w:t>
            </w:r>
            <w:r w:rsidRPr="00BD0870">
              <w:rPr>
                <w:rFonts w:ascii="微软雅黑" w:eastAsia="微软雅黑" w:hAnsi="微软雅黑" w:cs="宋体" w:hint="eastAsia"/>
                <w:color w:val="000000"/>
                <w:kern w:val="0"/>
                <w:sz w:val="16"/>
                <w:szCs w:val="16"/>
              </w:rPr>
              <w:t>数量（个）</w:t>
            </w:r>
          </w:p>
        </w:tc>
        <w:tc>
          <w:tcPr>
            <w:tcW w:w="87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本期可增设零售点数量（个）</w:t>
            </w:r>
          </w:p>
        </w:tc>
        <w:tc>
          <w:tcPr>
            <w:tcW w:w="870" w:type="dxa"/>
            <w:tcBorders>
              <w:top w:val="single" w:sz="4" w:space="0" w:color="333333"/>
              <w:left w:val="nil"/>
              <w:bottom w:val="single" w:sz="4" w:space="0" w:color="000000"/>
              <w:right w:val="single" w:sz="4" w:space="0" w:color="333333"/>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间距标准（米）</w:t>
            </w:r>
          </w:p>
        </w:tc>
      </w:tr>
      <w:tr w:rsidR="00BD0870" w:rsidRPr="00BD0870" w:rsidTr="00BD0870">
        <w:trPr>
          <w:trHeight w:val="228"/>
        </w:trPr>
        <w:tc>
          <w:tcPr>
            <w:tcW w:w="525" w:type="dxa"/>
            <w:vMerge w:val="restart"/>
            <w:tcBorders>
              <w:top w:val="nil"/>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righ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1</w:t>
            </w:r>
          </w:p>
        </w:tc>
        <w:tc>
          <w:tcPr>
            <w:tcW w:w="81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XX街道/XX乡镇</w:t>
            </w:r>
          </w:p>
        </w:tc>
        <w:tc>
          <w:tcPr>
            <w:tcW w:w="945"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XX路段</w:t>
            </w:r>
          </w:p>
        </w:tc>
        <w:tc>
          <w:tcPr>
            <w:tcW w:w="91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99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XX路段</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525" w:type="dxa"/>
            <w:vMerge w:val="restart"/>
            <w:tcBorders>
              <w:top w:val="nil"/>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righ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2</w:t>
            </w:r>
          </w:p>
        </w:tc>
        <w:tc>
          <w:tcPr>
            <w:tcW w:w="81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XX街道/XX乡镇</w:t>
            </w:r>
          </w:p>
        </w:tc>
        <w:tc>
          <w:tcPr>
            <w:tcW w:w="945"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XX路段</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99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XX路段</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14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XX村名组</w:t>
            </w:r>
          </w:p>
        </w:tc>
        <w:tc>
          <w:tcPr>
            <w:tcW w:w="91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28"/>
        </w:trPr>
        <w:tc>
          <w:tcPr>
            <w:tcW w:w="525" w:type="dxa"/>
            <w:tcBorders>
              <w:top w:val="nil"/>
              <w:left w:val="single" w:sz="4" w:space="0" w:color="333333"/>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微软雅黑" w:eastAsia="微软雅黑" w:hAnsi="微软雅黑" w:cs="宋体" w:hint="eastAsia"/>
                <w:color w:val="000000"/>
                <w:kern w:val="0"/>
                <w:sz w:val="16"/>
                <w:szCs w:val="16"/>
              </w:rPr>
              <w:t>合计</w:t>
            </w:r>
          </w:p>
        </w:tc>
        <w:tc>
          <w:tcPr>
            <w:tcW w:w="81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45"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47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15"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9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333333"/>
              <w:right w:val="single" w:sz="4" w:space="0" w:color="333333"/>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bl>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注：1.零售点设置数量上限指现行《开阳县烟草制品零售点合理布局规划表》中确定的2023年度（上半年/下半年）零售点设置数量；</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2.本期申办时间为x年x月x日x时x分至x年x月x日x时x分；</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3.符合《开阳县烟草制品零售点合理布局规定》第十一条规定的情形，不受所在单元格零售点设置数量上限和间距限制。</w:t>
      </w:r>
    </w:p>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附件3-1</w:t>
      </w:r>
    </w:p>
    <w:tbl>
      <w:tblPr>
        <w:tblW w:w="8385" w:type="dxa"/>
        <w:tblCellMar>
          <w:left w:w="0" w:type="dxa"/>
          <w:right w:w="0" w:type="dxa"/>
        </w:tblCellMar>
        <w:tblLook w:val="04A0"/>
      </w:tblPr>
      <w:tblGrid>
        <w:gridCol w:w="525"/>
        <w:gridCol w:w="705"/>
        <w:gridCol w:w="915"/>
        <w:gridCol w:w="810"/>
        <w:gridCol w:w="870"/>
        <w:gridCol w:w="855"/>
        <w:gridCol w:w="705"/>
        <w:gridCol w:w="720"/>
        <w:gridCol w:w="870"/>
        <w:gridCol w:w="870"/>
        <w:gridCol w:w="540"/>
      </w:tblGrid>
      <w:tr w:rsidR="00BD0870" w:rsidRPr="00BD0870" w:rsidTr="00BD0870">
        <w:trPr>
          <w:trHeight w:val="186"/>
        </w:trPr>
        <w:tc>
          <w:tcPr>
            <w:tcW w:w="8385" w:type="dxa"/>
            <w:gridSpan w:val="11"/>
            <w:tcBorders>
              <w:top w:val="nil"/>
              <w:left w:val="nil"/>
              <w:bottom w:val="single" w:sz="4" w:space="0" w:color="333333"/>
              <w:right w:val="nil"/>
            </w:tcBorders>
            <w:tcMar>
              <w:top w:w="0" w:type="dxa"/>
              <w:left w:w="73" w:type="dxa"/>
              <w:bottom w:w="0" w:type="dxa"/>
              <w:right w:w="73" w:type="dxa"/>
            </w:tcMar>
            <w:vAlign w:val="center"/>
            <w:hideMark/>
          </w:tcPr>
          <w:p w:rsidR="00BD0870" w:rsidRPr="00BD0870" w:rsidRDefault="00BD0870" w:rsidP="00BD0870">
            <w:pPr>
              <w:widowControl/>
              <w:wordWrap w:val="0"/>
              <w:jc w:val="center"/>
              <w:rPr>
                <w:rFonts w:ascii="微软雅黑" w:eastAsia="微软雅黑" w:hAnsi="微软雅黑" w:cs="宋体"/>
                <w:color w:val="000000"/>
                <w:kern w:val="0"/>
                <w:sz w:val="17"/>
                <w:szCs w:val="17"/>
              </w:rPr>
            </w:pPr>
            <w:r w:rsidRPr="00BD0870">
              <w:rPr>
                <w:rFonts w:ascii="仿宋_GB2312" w:eastAsia="仿宋_GB2312" w:hAnsi="微软雅黑" w:cs="宋体" w:hint="eastAsia"/>
                <w:color w:val="000000"/>
                <w:kern w:val="0"/>
                <w:sz w:val="22"/>
              </w:rPr>
              <w:t>开阳县烟草专卖局2023年第一期烟草专卖零售许可证办理情况公示表</w:t>
            </w:r>
          </w:p>
        </w:tc>
      </w:tr>
      <w:tr w:rsidR="00BD0870" w:rsidRPr="00BD0870" w:rsidTr="00BD0870">
        <w:trPr>
          <w:trHeight w:val="1119"/>
        </w:trPr>
        <w:tc>
          <w:tcPr>
            <w:tcW w:w="525" w:type="dxa"/>
            <w:tcBorders>
              <w:top w:val="nil"/>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序号</w:t>
            </w:r>
          </w:p>
        </w:tc>
        <w:tc>
          <w:tcPr>
            <w:tcW w:w="70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一级单元格</w:t>
            </w:r>
          </w:p>
        </w:tc>
        <w:tc>
          <w:tcPr>
            <w:tcW w:w="91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本期可增设零售点数量（个）</w:t>
            </w:r>
          </w:p>
        </w:tc>
        <w:tc>
          <w:tcPr>
            <w:tcW w:w="81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二级单元格</w:t>
            </w:r>
          </w:p>
        </w:tc>
        <w:tc>
          <w:tcPr>
            <w:tcW w:w="8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本期可增设零售点数量（个）</w:t>
            </w: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三级单元格</w:t>
            </w:r>
          </w:p>
        </w:tc>
        <w:tc>
          <w:tcPr>
            <w:tcW w:w="70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本期可增设零售点数量（个）</w:t>
            </w:r>
          </w:p>
        </w:tc>
        <w:tc>
          <w:tcPr>
            <w:tcW w:w="72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准予新办（个）</w:t>
            </w:r>
          </w:p>
        </w:tc>
        <w:tc>
          <w:tcPr>
            <w:tcW w:w="8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本期末零售点数量（个）</w:t>
            </w:r>
          </w:p>
        </w:tc>
        <w:tc>
          <w:tcPr>
            <w:tcW w:w="8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本期注销、歇业、收回许可证数量（个）</w:t>
            </w:r>
          </w:p>
        </w:tc>
        <w:tc>
          <w:tcPr>
            <w:tcW w:w="510" w:type="dxa"/>
            <w:tcBorders>
              <w:top w:val="nil"/>
              <w:left w:val="nil"/>
              <w:bottom w:val="single" w:sz="4" w:space="0" w:color="000000"/>
              <w:right w:val="single" w:sz="4" w:space="0" w:color="333333"/>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备注</w:t>
            </w:r>
          </w:p>
        </w:tc>
      </w:tr>
      <w:tr w:rsidR="00BD0870" w:rsidRPr="00BD0870" w:rsidTr="00BD0870">
        <w:trPr>
          <w:trHeight w:val="186"/>
        </w:trPr>
        <w:tc>
          <w:tcPr>
            <w:tcW w:w="525" w:type="dxa"/>
            <w:vMerge w:val="restart"/>
            <w:tcBorders>
              <w:top w:val="nil"/>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righ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1</w:t>
            </w:r>
          </w:p>
        </w:tc>
        <w:tc>
          <w:tcPr>
            <w:tcW w:w="705"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XX街道/XX乡镇</w:t>
            </w:r>
          </w:p>
        </w:tc>
        <w:tc>
          <w:tcPr>
            <w:tcW w:w="915"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1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XX路段</w:t>
            </w:r>
          </w:p>
        </w:tc>
        <w:tc>
          <w:tcPr>
            <w:tcW w:w="70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1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XX路段</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525" w:type="dxa"/>
            <w:vMerge w:val="restart"/>
            <w:tcBorders>
              <w:top w:val="nil"/>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righ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2</w:t>
            </w:r>
          </w:p>
        </w:tc>
        <w:tc>
          <w:tcPr>
            <w:tcW w:w="705"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XX街道/XX乡镇</w:t>
            </w:r>
          </w:p>
        </w:tc>
        <w:tc>
          <w:tcPr>
            <w:tcW w:w="915"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1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XX路段</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1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XX社区/XX行政村</w:t>
            </w:r>
          </w:p>
        </w:tc>
        <w:tc>
          <w:tcPr>
            <w:tcW w:w="870" w:type="dxa"/>
            <w:vMerge w:val="restart"/>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XX路段</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186"/>
        </w:trPr>
        <w:tc>
          <w:tcPr>
            <w:tcW w:w="0" w:type="auto"/>
            <w:vMerge/>
            <w:tcBorders>
              <w:top w:val="nil"/>
              <w:left w:val="single" w:sz="4" w:space="0" w:color="333333"/>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0" w:type="auto"/>
            <w:vMerge/>
            <w:tcBorders>
              <w:top w:val="nil"/>
              <w:left w:val="nil"/>
              <w:bottom w:val="single" w:sz="4" w:space="0" w:color="000000"/>
              <w:right w:val="single" w:sz="4" w:space="0" w:color="000000"/>
            </w:tcBorders>
            <w:vAlign w:val="center"/>
            <w:hideMark/>
          </w:tcPr>
          <w:p w:rsidR="00BD0870" w:rsidRPr="00BD0870" w:rsidRDefault="00BD0870" w:rsidP="00BD0870">
            <w:pPr>
              <w:widowControl/>
              <w:jc w:val="left"/>
              <w:rPr>
                <w:rFonts w:ascii="微软雅黑" w:eastAsia="微软雅黑" w:hAnsi="微软雅黑" w:cs="宋体"/>
                <w:color w:val="000000"/>
                <w:kern w:val="0"/>
                <w:sz w:val="17"/>
                <w:szCs w:val="17"/>
              </w:rPr>
            </w:pPr>
          </w:p>
        </w:tc>
        <w:tc>
          <w:tcPr>
            <w:tcW w:w="855"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XX村名组</w:t>
            </w:r>
          </w:p>
        </w:tc>
        <w:tc>
          <w:tcPr>
            <w:tcW w:w="705"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000000"/>
              <w:right w:val="single" w:sz="4" w:space="0" w:color="000000"/>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000000"/>
              <w:right w:val="single" w:sz="4" w:space="0" w:color="333333"/>
            </w:tcBorders>
            <w:tcMar>
              <w:top w:w="0" w:type="dxa"/>
              <w:left w:w="73" w:type="dxa"/>
              <w:bottom w:w="0" w:type="dxa"/>
              <w:right w:w="73" w:type="dxa"/>
            </w:tcMa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373"/>
        </w:trPr>
        <w:tc>
          <w:tcPr>
            <w:tcW w:w="525" w:type="dxa"/>
            <w:tcBorders>
              <w:top w:val="nil"/>
              <w:left w:val="single" w:sz="4" w:space="0" w:color="333333"/>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合计</w:t>
            </w:r>
          </w:p>
        </w:tc>
        <w:tc>
          <w:tcPr>
            <w:tcW w:w="705"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915"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1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55"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05"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72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7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510" w:type="dxa"/>
            <w:tcBorders>
              <w:top w:val="nil"/>
              <w:left w:val="nil"/>
              <w:bottom w:val="single" w:sz="4" w:space="0" w:color="333333"/>
              <w:right w:val="single" w:sz="4" w:space="0" w:color="333333"/>
            </w:tcBorders>
            <w:tcMar>
              <w:top w:w="0" w:type="dxa"/>
              <w:left w:w="73" w:type="dxa"/>
              <w:bottom w:w="0" w:type="dxa"/>
              <w:right w:w="73" w:type="dxa"/>
            </w:tcMar>
            <w:vAlign w:val="bottom"/>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bl>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附件：3-2</w:t>
      </w:r>
    </w:p>
    <w:p w:rsidR="00BD0870" w:rsidRPr="00BD0870" w:rsidRDefault="00BD0870" w:rsidP="00BD0870">
      <w:pPr>
        <w:widowControl/>
        <w:jc w:val="center"/>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开阳县烟草专卖局2023年第一期烟草专卖零售许可证准予新办明细表</w:t>
      </w:r>
    </w:p>
    <w:tbl>
      <w:tblPr>
        <w:tblW w:w="8385" w:type="dxa"/>
        <w:tblCellMar>
          <w:left w:w="0" w:type="dxa"/>
          <w:right w:w="0" w:type="dxa"/>
        </w:tblCellMar>
        <w:tblLook w:val="04A0"/>
      </w:tblPr>
      <w:tblGrid>
        <w:gridCol w:w="1080"/>
        <w:gridCol w:w="1080"/>
        <w:gridCol w:w="1080"/>
        <w:gridCol w:w="1080"/>
        <w:gridCol w:w="1080"/>
        <w:gridCol w:w="1080"/>
        <w:gridCol w:w="1080"/>
        <w:gridCol w:w="825"/>
      </w:tblGrid>
      <w:tr w:rsidR="00BD0870" w:rsidRPr="00BD0870" w:rsidTr="00BD0870">
        <w:trPr>
          <w:trHeight w:val="373"/>
        </w:trPr>
        <w:tc>
          <w:tcPr>
            <w:tcW w:w="1080" w:type="dxa"/>
            <w:tcBorders>
              <w:top w:val="single" w:sz="4" w:space="0" w:color="333333"/>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序号</w:t>
            </w:r>
          </w:p>
        </w:tc>
        <w:tc>
          <w:tcPr>
            <w:tcW w:w="108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所属单元格</w:t>
            </w:r>
          </w:p>
        </w:tc>
        <w:tc>
          <w:tcPr>
            <w:tcW w:w="108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企业名称</w:t>
            </w:r>
          </w:p>
        </w:tc>
        <w:tc>
          <w:tcPr>
            <w:tcW w:w="108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经营地址</w:t>
            </w:r>
          </w:p>
        </w:tc>
        <w:tc>
          <w:tcPr>
            <w:tcW w:w="108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新办申请时间</w:t>
            </w:r>
          </w:p>
        </w:tc>
        <w:tc>
          <w:tcPr>
            <w:tcW w:w="108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准予许可时间</w:t>
            </w:r>
          </w:p>
        </w:tc>
        <w:tc>
          <w:tcPr>
            <w:tcW w:w="1080" w:type="dxa"/>
            <w:tcBorders>
              <w:top w:val="single" w:sz="4" w:space="0" w:color="333333"/>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特殊情形</w:t>
            </w:r>
          </w:p>
        </w:tc>
        <w:tc>
          <w:tcPr>
            <w:tcW w:w="825" w:type="dxa"/>
            <w:tcBorders>
              <w:top w:val="single" w:sz="4" w:space="0" w:color="333333"/>
              <w:left w:val="nil"/>
              <w:bottom w:val="single" w:sz="4" w:space="0" w:color="000000"/>
              <w:right w:val="single" w:sz="4" w:space="0" w:color="333333"/>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备注</w:t>
            </w:r>
          </w:p>
        </w:tc>
      </w:tr>
      <w:tr w:rsidR="00BD0870" w:rsidRPr="00BD0870" w:rsidTr="00BD0870">
        <w:trPr>
          <w:trHeight w:val="932"/>
        </w:trPr>
        <w:tc>
          <w:tcPr>
            <w:tcW w:w="1080" w:type="dxa"/>
            <w:tcBorders>
              <w:top w:val="nil"/>
              <w:left w:val="single" w:sz="4" w:space="0" w:color="333333"/>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000000"/>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属城区经营面积XX平方米以上的大型超市。</w:t>
            </w:r>
          </w:p>
        </w:tc>
        <w:tc>
          <w:tcPr>
            <w:tcW w:w="825" w:type="dxa"/>
            <w:tcBorders>
              <w:top w:val="nil"/>
              <w:left w:val="nil"/>
              <w:bottom w:val="single" w:sz="4" w:space="0" w:color="000000"/>
              <w:right w:val="single" w:sz="4" w:space="0" w:color="333333"/>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r w:rsidR="00BD0870" w:rsidRPr="00BD0870" w:rsidTr="00BD0870">
        <w:trPr>
          <w:trHeight w:val="280"/>
        </w:trPr>
        <w:tc>
          <w:tcPr>
            <w:tcW w:w="1080" w:type="dxa"/>
            <w:tcBorders>
              <w:top w:val="nil"/>
              <w:left w:val="single" w:sz="4" w:space="0" w:color="333333"/>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r w:rsidRPr="00BD0870">
              <w:rPr>
                <w:rFonts w:ascii="宋体" w:eastAsia="宋体" w:hAnsi="宋体" w:cs="宋体" w:hint="eastAsia"/>
                <w:color w:val="000000"/>
                <w:kern w:val="0"/>
                <w:sz w:val="16"/>
                <w:szCs w:val="16"/>
              </w:rPr>
              <w:t xml:space="preserve">　合计</w:t>
            </w:r>
          </w:p>
        </w:tc>
        <w:tc>
          <w:tcPr>
            <w:tcW w:w="108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1080" w:type="dxa"/>
            <w:tcBorders>
              <w:top w:val="nil"/>
              <w:left w:val="nil"/>
              <w:bottom w:val="single" w:sz="4" w:space="0" w:color="333333"/>
              <w:right w:val="single" w:sz="4" w:space="0" w:color="000000"/>
            </w:tcBorders>
            <w:tcMar>
              <w:top w:w="0" w:type="dxa"/>
              <w:left w:w="73" w:type="dxa"/>
              <w:bottom w:w="0" w:type="dxa"/>
              <w:right w:w="73" w:type="dxa"/>
            </w:tcMar>
            <w:vAlign w:val="center"/>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c>
          <w:tcPr>
            <w:tcW w:w="825" w:type="dxa"/>
            <w:tcBorders>
              <w:top w:val="nil"/>
              <w:left w:val="nil"/>
              <w:bottom w:val="single" w:sz="4" w:space="0" w:color="333333"/>
              <w:right w:val="single" w:sz="4" w:space="0" w:color="333333"/>
            </w:tcBorders>
            <w:tcMar>
              <w:top w:w="0" w:type="dxa"/>
              <w:left w:w="73" w:type="dxa"/>
              <w:bottom w:w="0" w:type="dxa"/>
              <w:right w:w="73" w:type="dxa"/>
            </w:tcMar>
            <w:vAlign w:val="bottom"/>
            <w:hideMark/>
          </w:tcPr>
          <w:p w:rsidR="00BD0870" w:rsidRPr="00BD0870" w:rsidRDefault="00BD0870" w:rsidP="00BD0870">
            <w:pPr>
              <w:widowControl/>
              <w:wordWrap w:val="0"/>
              <w:jc w:val="left"/>
              <w:rPr>
                <w:rFonts w:ascii="微软雅黑" w:eastAsia="微软雅黑" w:hAnsi="微软雅黑" w:cs="宋体"/>
                <w:color w:val="000000"/>
                <w:kern w:val="0"/>
                <w:sz w:val="17"/>
                <w:szCs w:val="17"/>
              </w:rPr>
            </w:pPr>
          </w:p>
        </w:tc>
      </w:tr>
    </w:tbl>
    <w:p w:rsidR="00BD0870" w:rsidRPr="00BD0870" w:rsidRDefault="00BD0870" w:rsidP="00BD0870">
      <w:pPr>
        <w:widowControl/>
        <w:ind w:firstLine="332"/>
        <w:jc w:val="left"/>
        <w:rPr>
          <w:rFonts w:ascii="微软雅黑" w:eastAsia="微软雅黑" w:hAnsi="微软雅黑" w:cs="宋体" w:hint="eastAsia"/>
          <w:color w:val="000000"/>
          <w:kern w:val="0"/>
          <w:sz w:val="17"/>
          <w:szCs w:val="17"/>
        </w:rPr>
      </w:pPr>
      <w:r w:rsidRPr="00BD0870">
        <w:rPr>
          <w:rFonts w:ascii="微软雅黑" w:eastAsia="微软雅黑" w:hAnsi="微软雅黑" w:cs="宋体" w:hint="eastAsia"/>
          <w:color w:val="000000"/>
          <w:kern w:val="0"/>
          <w:sz w:val="19"/>
          <w:szCs w:val="19"/>
        </w:rPr>
        <w:t> </w:t>
      </w:r>
    </w:p>
    <w:p w:rsidR="00BD0870" w:rsidRPr="00BD0870" w:rsidRDefault="00BD0870" w:rsidP="00BD0870">
      <w:pPr>
        <w:widowControl/>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附件4</w:t>
      </w:r>
    </w:p>
    <w:p w:rsidR="00BD0870" w:rsidRPr="00BD0870" w:rsidRDefault="00BD0870" w:rsidP="00BD0870">
      <w:pPr>
        <w:widowControl/>
        <w:jc w:val="center"/>
        <w:rPr>
          <w:rFonts w:ascii="微软雅黑" w:eastAsia="微软雅黑" w:hAnsi="微软雅黑" w:cs="宋体" w:hint="eastAsia"/>
          <w:color w:val="000000"/>
          <w:kern w:val="0"/>
          <w:sz w:val="17"/>
          <w:szCs w:val="17"/>
        </w:rPr>
      </w:pPr>
      <w:r w:rsidRPr="00BD0870">
        <w:rPr>
          <w:rFonts w:ascii="方正小标宋简体" w:eastAsia="方正小标宋简体" w:hAnsi="微软雅黑" w:cs="宋体" w:hint="eastAsia"/>
          <w:color w:val="000000"/>
          <w:kern w:val="0"/>
          <w:sz w:val="30"/>
          <w:szCs w:val="30"/>
        </w:rPr>
        <w:t>开阳县烟草制品零售点</w:t>
      </w:r>
    </w:p>
    <w:p w:rsidR="00BD0870" w:rsidRPr="00BD0870" w:rsidRDefault="00BD0870" w:rsidP="00BD0870">
      <w:pPr>
        <w:widowControl/>
        <w:jc w:val="center"/>
        <w:rPr>
          <w:rFonts w:ascii="微软雅黑" w:eastAsia="微软雅黑" w:hAnsi="微软雅黑" w:cs="宋体" w:hint="eastAsia"/>
          <w:color w:val="000000"/>
          <w:kern w:val="0"/>
          <w:sz w:val="17"/>
          <w:szCs w:val="17"/>
        </w:rPr>
      </w:pPr>
      <w:r w:rsidRPr="00BD0870">
        <w:rPr>
          <w:rFonts w:ascii="方正小标宋简体" w:eastAsia="方正小标宋简体" w:hAnsi="微软雅黑" w:cs="宋体" w:hint="eastAsia"/>
          <w:color w:val="000000"/>
          <w:kern w:val="0"/>
          <w:sz w:val="30"/>
          <w:szCs w:val="30"/>
        </w:rPr>
        <w:t>经营场所现场勘验测量标准</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仿宋_GB2312" w:eastAsia="仿宋_GB2312" w:hAnsi="微软雅黑" w:cs="宋体" w:hint="eastAsia"/>
          <w:color w:val="000000"/>
          <w:kern w:val="0"/>
          <w:sz w:val="22"/>
        </w:rPr>
        <w:t>为统一、规范现场测量标准，确保烟草制品零售点勘验公开、公平、公正，依据《开阳县烟草制品零售点合理布局规定》（以下简称《合理布局规定》），制定本标准。</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第一条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本标准适用于开阳县烟草专卖局对烟草制品零售点布局的现场测量工作。</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第二条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烟草制品零售点现场测量主要是指间距距离的测量认定。</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第三条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间距距离测量，是指申请人的经营场所营业大门中心与最近零售点的经营场所营业大门中心之间行人可正常安全通行的无障碍最短距离。</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第四条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间距距离使用测量工具进行测量，申请人或利害关系人提出复核的，由测量单位重新安排人员进行二次勘验，并制作现场勘验表和全程视频音频记录。</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第五条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政府有关部门在街道或道路中已经设置的行人隔离带（栏）、绿化带等视为障碍物，认定为不可正常安全通行。</w:t>
      </w:r>
    </w:p>
    <w:p w:rsidR="00BD0870" w:rsidRPr="00BD0870" w:rsidRDefault="00BD0870" w:rsidP="00BD0870">
      <w:pPr>
        <w:widowControl/>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第六条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在通行道路上临时设置的安全设施，临时放置的建筑材料、物品，擅自设立、建造的建筑、物体，以及因阶段性施工影响通行等不视为障碍物。</w:t>
      </w:r>
    </w:p>
    <w:p w:rsidR="00BD0870" w:rsidRPr="00BD0870" w:rsidRDefault="00BD0870" w:rsidP="00BD0870">
      <w:pPr>
        <w:widowControl/>
        <w:shd w:val="clear" w:color="auto" w:fill="FFFFFF"/>
        <w:spacing w:line="404" w:lineRule="atLeast"/>
        <w:ind w:firstLine="445"/>
        <w:jc w:val="left"/>
        <w:rPr>
          <w:rFonts w:ascii="微软雅黑" w:eastAsia="微软雅黑" w:hAnsi="微软雅黑" w:cs="宋体" w:hint="eastAsia"/>
          <w:color w:val="000000"/>
          <w:kern w:val="0"/>
          <w:sz w:val="17"/>
          <w:szCs w:val="17"/>
        </w:rPr>
      </w:pPr>
      <w:r w:rsidRPr="00BD0870">
        <w:rPr>
          <w:rFonts w:ascii="黑体" w:eastAsia="黑体" w:hAnsi="黑体" w:cs="宋体" w:hint="eastAsia"/>
          <w:color w:val="000000"/>
          <w:kern w:val="0"/>
          <w:sz w:val="22"/>
        </w:rPr>
        <w:t>第七条</w:t>
      </w:r>
      <w:r w:rsidRPr="00BD0870">
        <w:rPr>
          <w:rFonts w:ascii="仿宋_GB2312" w:eastAsia="仿宋_GB2312" w:hAnsi="微软雅黑" w:cs="宋体" w:hint="eastAsia"/>
          <w:color w:val="000000"/>
          <w:kern w:val="0"/>
          <w:sz w:val="22"/>
        </w:rPr>
        <w:t>  </w:t>
      </w:r>
      <w:r w:rsidRPr="00BD0870">
        <w:rPr>
          <w:rFonts w:ascii="仿宋_GB2312" w:eastAsia="仿宋_GB2312" w:hAnsi="微软雅黑" w:cs="宋体" w:hint="eastAsia"/>
          <w:color w:val="000000"/>
          <w:kern w:val="0"/>
          <w:sz w:val="22"/>
        </w:rPr>
        <w:t>测量标准。</w:t>
      </w:r>
    </w:p>
    <w:p w:rsidR="005535EE" w:rsidRDefault="00BD0870">
      <w:pPr>
        <w:jc w:val="center"/>
        <w:rPr>
          <w:rFonts w:ascii="仿宋_GB2312" w:eastAsia="仿宋_GB2312" w:hAnsi="宋体" w:cs="宋体"/>
          <w:kern w:val="0"/>
          <w:sz w:val="32"/>
          <w:szCs w:val="32"/>
        </w:rPr>
      </w:pPr>
      <w:r>
        <w:rPr>
          <w:rFonts w:ascii="仿宋_GB2312" w:eastAsia="仿宋_GB2312" w:hAnsi="宋体" w:cs="宋体"/>
          <w:noProof/>
          <w:kern w:val="0"/>
          <w:sz w:val="32"/>
          <w:szCs w:val="32"/>
        </w:rPr>
        <w:drawing>
          <wp:inline distT="0" distB="0" distL="0" distR="0">
            <wp:extent cx="5261610" cy="20256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61610" cy="2025650"/>
                    </a:xfrm>
                    <a:prstGeom prst="rect">
                      <a:avLst/>
                    </a:prstGeom>
                    <a:noFill/>
                    <a:ln>
                      <a:noFill/>
                    </a:ln>
                  </pic:spPr>
                </pic:pic>
              </a:graphicData>
            </a:graphic>
          </wp:inline>
        </w:drawing>
      </w:r>
    </w:p>
    <w:p w:rsidR="005535EE" w:rsidRDefault="00BD0870">
      <w:pPr>
        <w:jc w:val="center"/>
        <w:rPr>
          <w:rFonts w:ascii="仿宋_GB2312" w:eastAsia="仿宋_GB2312" w:hAnsi="宋体" w:cs="宋体"/>
          <w:kern w:val="0"/>
          <w:sz w:val="32"/>
          <w:szCs w:val="32"/>
          <w:lang w:bidi="ug-CN"/>
        </w:rPr>
      </w:pPr>
      <w:r>
        <w:rPr>
          <w:rFonts w:ascii="仿宋_GB2312" w:eastAsia="仿宋_GB2312" w:hAnsi="宋体" w:cs="宋体" w:hint="eastAsia"/>
          <w:kern w:val="0"/>
          <w:sz w:val="32"/>
          <w:szCs w:val="32"/>
          <w:lang w:bidi="ug-CN"/>
        </w:rPr>
        <w:t>（图</w:t>
      </w:r>
      <w:r>
        <w:rPr>
          <w:rFonts w:ascii="仿宋_GB2312" w:eastAsia="仿宋_GB2312" w:hAnsi="宋体" w:cs="宋体" w:hint="eastAsia"/>
          <w:kern w:val="0"/>
          <w:sz w:val="32"/>
          <w:szCs w:val="32"/>
          <w:lang w:bidi="ug-CN"/>
        </w:rPr>
        <w:t>1</w:t>
      </w:r>
      <w:r>
        <w:rPr>
          <w:rFonts w:ascii="仿宋_GB2312" w:eastAsia="仿宋_GB2312" w:hAnsi="宋体" w:cs="宋体" w:hint="eastAsia"/>
          <w:kern w:val="0"/>
          <w:sz w:val="32"/>
          <w:szCs w:val="32"/>
          <w:lang w:bidi="ug-CN"/>
        </w:rPr>
        <w:t>）</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2.</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黑体" w:cs="宋体" w:hint="eastAsia"/>
          <w:sz w:val="32"/>
          <w:szCs w:val="32"/>
          <w:lang w:bidi="ug-CN"/>
        </w:rPr>
        <w:t>同侧</w:t>
      </w:r>
      <w:r>
        <w:rPr>
          <w:rFonts w:ascii="仿宋_GB2312" w:eastAsia="仿宋_GB2312" w:hAnsi="仿宋" w:cs="宋体" w:hint="eastAsia"/>
          <w:sz w:val="32"/>
          <w:szCs w:val="32"/>
          <w:lang w:bidi="ug-CN"/>
        </w:rPr>
        <w:t>存在障碍物的，测量按直角分段绕过障碍物测量，分段距离之和即为</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间的距离。（如图</w:t>
      </w:r>
      <w:r>
        <w:rPr>
          <w:rFonts w:ascii="仿宋_GB2312" w:eastAsia="仿宋_GB2312" w:hAnsi="仿宋" w:cs="宋体" w:hint="eastAsia"/>
          <w:sz w:val="32"/>
          <w:szCs w:val="32"/>
          <w:lang w:bidi="ug-CN"/>
        </w:rPr>
        <w:t>2</w:t>
      </w:r>
      <w:r>
        <w:rPr>
          <w:rFonts w:ascii="仿宋_GB2312" w:eastAsia="仿宋_GB2312" w:hAnsi="仿宋" w:cs="宋体" w:hint="eastAsia"/>
          <w:sz w:val="32"/>
          <w:szCs w:val="32"/>
          <w:lang w:bidi="ug-CN"/>
        </w:rPr>
        <w:t>所示）</w:t>
      </w:r>
    </w:p>
    <w:p w:rsidR="005535EE" w:rsidRDefault="00BD0870">
      <w:pPr>
        <w:adjustRightInd w:val="0"/>
        <w:snapToGrid w:val="0"/>
        <w:jc w:val="center"/>
        <w:rPr>
          <w:rFonts w:ascii="方正小标宋简体" w:eastAsia="方正小标宋简体" w:hAnsi="黑体" w:cs="宋体"/>
          <w:sz w:val="32"/>
          <w:szCs w:val="32"/>
          <w:lang w:bidi="ug-CN"/>
        </w:rPr>
      </w:pPr>
      <w:r>
        <w:rPr>
          <w:rFonts w:ascii="方正小标宋简体" w:eastAsia="方正小标宋简体" w:hAnsi="黑体" w:cs="宋体"/>
          <w:noProof/>
          <w:sz w:val="32"/>
          <w:szCs w:val="32"/>
        </w:rPr>
        <w:drawing>
          <wp:inline distT="0" distB="0" distL="0" distR="0">
            <wp:extent cx="5275580" cy="1899285"/>
            <wp:effectExtent l="0" t="0" r="1270" b="5715"/>
            <wp:docPr id="17" name="图片 17" descr="1d7f0ab4-2a82-4e0d-8a2f-87f543d903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d7f0ab4-2a82-4e0d-8a2f-87f543d9031d"/>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5580" cy="1899285"/>
                    </a:xfrm>
                    <a:prstGeom prst="rect">
                      <a:avLst/>
                    </a:prstGeom>
                    <a:noFill/>
                    <a:ln>
                      <a:noFill/>
                    </a:ln>
                  </pic:spPr>
                </pic:pic>
              </a:graphicData>
            </a:graphic>
          </wp:inline>
        </w:drawing>
      </w:r>
    </w:p>
    <w:p w:rsidR="005535EE" w:rsidRDefault="00BD0870">
      <w:pPr>
        <w:adjustRightInd w:val="0"/>
        <w:snapToGrid w:val="0"/>
        <w:jc w:val="center"/>
        <w:rPr>
          <w:rFonts w:ascii="仿宋_GB2312" w:eastAsia="仿宋_GB2312" w:hAnsi="仿宋" w:cs="宋体"/>
          <w:sz w:val="32"/>
          <w:szCs w:val="32"/>
          <w:lang w:bidi="ug-CN"/>
        </w:rPr>
      </w:pPr>
      <w:r>
        <w:rPr>
          <w:rFonts w:ascii="方正小标宋简体" w:eastAsia="方正小标宋简体" w:hAnsi="黑体" w:cs="宋体" w:hint="eastAsia"/>
          <w:sz w:val="32"/>
          <w:szCs w:val="32"/>
          <w:lang w:bidi="ug-CN"/>
        </w:rPr>
        <w:t>（</w:t>
      </w:r>
      <w:r>
        <w:rPr>
          <w:rFonts w:ascii="仿宋_GB2312" w:eastAsia="仿宋_GB2312" w:hAnsi="仿宋" w:cs="宋体" w:hint="eastAsia"/>
          <w:sz w:val="32"/>
          <w:szCs w:val="32"/>
          <w:lang w:bidi="ug-CN"/>
        </w:rPr>
        <w:t>图</w:t>
      </w:r>
      <w:r>
        <w:rPr>
          <w:rFonts w:ascii="仿宋_GB2312" w:eastAsia="仿宋_GB2312" w:hAnsi="仿宋" w:cs="宋体" w:hint="eastAsia"/>
          <w:sz w:val="32"/>
          <w:szCs w:val="32"/>
          <w:lang w:bidi="ug-CN"/>
        </w:rPr>
        <w:t>2</w:t>
      </w:r>
      <w:r>
        <w:rPr>
          <w:rFonts w:ascii="仿宋_GB2312" w:eastAsia="仿宋_GB2312" w:hAnsi="仿宋" w:cs="宋体" w:hint="eastAsia"/>
          <w:sz w:val="32"/>
          <w:szCs w:val="32"/>
          <w:lang w:bidi="ug-CN"/>
        </w:rPr>
        <w:t>）</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3.</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异侧无障碍物的</w:t>
      </w:r>
      <w:r>
        <w:rPr>
          <w:rFonts w:ascii="仿宋_GB2312" w:eastAsia="仿宋_GB2312" w:hAnsi="仿宋" w:cs="宋体" w:hint="eastAsia"/>
          <w:sz w:val="32"/>
          <w:szCs w:val="32"/>
          <w:lang w:bidi="ug-CN"/>
        </w:rPr>
        <w:t>,</w:t>
      </w:r>
      <w:r>
        <w:rPr>
          <w:rFonts w:ascii="仿宋_GB2312" w:eastAsia="仿宋_GB2312" w:hAnsi="仿宋" w:cs="宋体" w:hint="eastAsia"/>
          <w:sz w:val="32"/>
          <w:szCs w:val="32"/>
          <w:lang w:bidi="ug-CN"/>
        </w:rPr>
        <w:t>测量按直角分段测量，分段距离之和即为</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的距离。（如图</w:t>
      </w:r>
      <w:r>
        <w:rPr>
          <w:rFonts w:ascii="仿宋_GB2312" w:eastAsia="仿宋_GB2312" w:hAnsi="仿宋" w:cs="宋体" w:hint="eastAsia"/>
          <w:sz w:val="32"/>
          <w:szCs w:val="32"/>
          <w:lang w:bidi="ug-CN"/>
        </w:rPr>
        <w:t>3</w:t>
      </w:r>
      <w:r>
        <w:rPr>
          <w:rFonts w:ascii="仿宋_GB2312" w:eastAsia="仿宋_GB2312" w:hAnsi="仿宋" w:cs="宋体" w:hint="eastAsia"/>
          <w:sz w:val="32"/>
          <w:szCs w:val="32"/>
          <w:lang w:bidi="ug-CN"/>
        </w:rPr>
        <w:t>所示）</w:t>
      </w:r>
      <w:r>
        <w:rPr>
          <w:rFonts w:ascii="仿宋_GB2312" w:eastAsia="仿宋_GB2312" w:hAnsi="仿宋" w:cs="宋体" w:hint="eastAsia"/>
          <w:sz w:val="32"/>
          <w:szCs w:val="32"/>
          <w:lang w:bidi="ug-CN"/>
        </w:rPr>
        <w:t xml:space="preserve">  </w:t>
      </w:r>
    </w:p>
    <w:p w:rsidR="005535EE" w:rsidRDefault="00BD0870">
      <w:pPr>
        <w:adjustRightInd w:val="0"/>
        <w:snapToGrid w:val="0"/>
        <w:jc w:val="center"/>
        <w:rPr>
          <w:rFonts w:ascii="方正小标宋简体" w:eastAsia="方正小标宋简体" w:hAnsi="黑体" w:cs="宋体"/>
          <w:sz w:val="32"/>
          <w:szCs w:val="32"/>
          <w:lang w:bidi="ug-CN"/>
        </w:rPr>
      </w:pPr>
      <w:r>
        <w:rPr>
          <w:rFonts w:ascii="方正小标宋简体" w:eastAsia="方正小标宋简体" w:hAnsi="黑体" w:cs="宋体"/>
          <w:noProof/>
          <w:sz w:val="32"/>
          <w:szCs w:val="32"/>
        </w:rPr>
        <w:drawing>
          <wp:inline distT="0" distB="0" distL="0" distR="0">
            <wp:extent cx="5261610" cy="26308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61610" cy="2630805"/>
                    </a:xfrm>
                    <a:prstGeom prst="rect">
                      <a:avLst/>
                    </a:prstGeom>
                    <a:noFill/>
                    <a:ln>
                      <a:noFill/>
                    </a:ln>
                  </pic:spPr>
                </pic:pic>
              </a:graphicData>
            </a:graphic>
          </wp:inline>
        </w:drawing>
      </w:r>
      <w:r>
        <w:rPr>
          <w:rFonts w:ascii="方正小标宋简体" w:eastAsia="方正小标宋简体" w:hAnsi="黑体" w:cs="宋体" w:hint="eastAsia"/>
          <w:sz w:val="32"/>
          <w:szCs w:val="32"/>
          <w:lang w:bidi="ug-CN"/>
        </w:rPr>
        <w:t xml:space="preserve"> </w:t>
      </w:r>
    </w:p>
    <w:p w:rsidR="005535EE" w:rsidRDefault="00BD0870">
      <w:pPr>
        <w:adjustRightInd w:val="0"/>
        <w:snapToGrid w:val="0"/>
        <w:jc w:val="center"/>
        <w:rPr>
          <w:rFonts w:ascii="仿宋_GB2312" w:eastAsia="仿宋_GB2312" w:hAnsi="宋体" w:cs="宋体"/>
          <w:kern w:val="0"/>
          <w:sz w:val="32"/>
          <w:szCs w:val="32"/>
          <w:lang w:bidi="ug-CN"/>
        </w:rPr>
      </w:pPr>
      <w:r>
        <w:rPr>
          <w:rFonts w:ascii="仿宋_GB2312" w:eastAsia="仿宋_GB2312" w:hAnsi="宋体" w:cs="宋体" w:hint="eastAsia"/>
          <w:kern w:val="0"/>
          <w:sz w:val="32"/>
          <w:szCs w:val="32"/>
          <w:lang w:bidi="ug-CN"/>
        </w:rPr>
        <w:t>（图</w:t>
      </w:r>
      <w:r>
        <w:rPr>
          <w:rFonts w:ascii="仿宋_GB2312" w:eastAsia="仿宋_GB2312" w:hAnsi="宋体" w:cs="宋体" w:hint="eastAsia"/>
          <w:kern w:val="0"/>
          <w:sz w:val="32"/>
          <w:szCs w:val="32"/>
          <w:lang w:bidi="ug-CN"/>
        </w:rPr>
        <w:t>3</w:t>
      </w:r>
      <w:r>
        <w:rPr>
          <w:rFonts w:ascii="仿宋_GB2312" w:eastAsia="仿宋_GB2312" w:hAnsi="宋体" w:cs="宋体" w:hint="eastAsia"/>
          <w:kern w:val="0"/>
          <w:sz w:val="32"/>
          <w:szCs w:val="32"/>
          <w:lang w:bidi="ug-CN"/>
        </w:rPr>
        <w:t>）</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4.</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异侧存在障碍物的，测量按直角分段绕过障碍物测量，分段距离之和即为</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间的距离。（如图</w:t>
      </w:r>
      <w:r>
        <w:rPr>
          <w:rFonts w:ascii="仿宋_GB2312" w:eastAsia="仿宋_GB2312" w:hAnsi="仿宋" w:cs="宋体" w:hint="eastAsia"/>
          <w:sz w:val="32"/>
          <w:szCs w:val="32"/>
          <w:lang w:bidi="ug-CN"/>
        </w:rPr>
        <w:t>4</w:t>
      </w:r>
      <w:r>
        <w:rPr>
          <w:rFonts w:ascii="仿宋_GB2312" w:eastAsia="仿宋_GB2312" w:hAnsi="仿宋" w:cs="宋体" w:hint="eastAsia"/>
          <w:sz w:val="32"/>
          <w:szCs w:val="32"/>
          <w:lang w:bidi="ug-CN"/>
        </w:rPr>
        <w:t>所示）</w:t>
      </w:r>
    </w:p>
    <w:p w:rsidR="005535EE" w:rsidRDefault="00BD0870">
      <w:pPr>
        <w:adjustRightInd w:val="0"/>
        <w:snapToGrid w:val="0"/>
        <w:jc w:val="center"/>
        <w:rPr>
          <w:rFonts w:ascii="仿宋_GB2312" w:eastAsia="仿宋_GB2312" w:hAnsi="仿宋" w:cs="宋体"/>
          <w:sz w:val="32"/>
          <w:szCs w:val="32"/>
          <w:lang w:bidi="ug-CN"/>
        </w:rPr>
      </w:pPr>
      <w:r>
        <w:rPr>
          <w:rFonts w:ascii="仿宋_GB2312" w:eastAsia="仿宋_GB2312" w:hAnsi="仿宋" w:cs="宋体"/>
          <w:noProof/>
          <w:sz w:val="32"/>
          <w:szCs w:val="32"/>
        </w:rPr>
        <w:drawing>
          <wp:inline distT="0" distB="0" distL="0" distR="0">
            <wp:extent cx="5219065" cy="2546350"/>
            <wp:effectExtent l="0" t="0" r="63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19065" cy="2546350"/>
                    </a:xfrm>
                    <a:prstGeom prst="rect">
                      <a:avLst/>
                    </a:prstGeom>
                    <a:noFill/>
                    <a:ln>
                      <a:noFill/>
                    </a:ln>
                  </pic:spPr>
                </pic:pic>
              </a:graphicData>
            </a:graphic>
          </wp:inline>
        </w:drawing>
      </w:r>
      <w:r>
        <w:rPr>
          <w:rFonts w:ascii="仿宋_GB2312" w:eastAsia="仿宋_GB2312" w:hAnsi="仿宋" w:cs="宋体" w:hint="eastAsia"/>
          <w:sz w:val="32"/>
          <w:szCs w:val="32"/>
          <w:lang w:bidi="ug-CN"/>
        </w:rPr>
        <w:t xml:space="preserve"> </w:t>
      </w:r>
    </w:p>
    <w:p w:rsidR="005535EE" w:rsidRDefault="00BD0870">
      <w:pPr>
        <w:adjustRightInd w:val="0"/>
        <w:snapToGrid w:val="0"/>
        <w:jc w:val="center"/>
        <w:rPr>
          <w:rFonts w:ascii="仿宋_GB2312" w:eastAsia="仿宋_GB2312" w:hAnsi="仿宋" w:cs="宋体"/>
          <w:sz w:val="32"/>
          <w:szCs w:val="32"/>
          <w:lang w:bidi="ug-CN"/>
        </w:rPr>
      </w:pPr>
      <w:r>
        <w:rPr>
          <w:rFonts w:ascii="仿宋_GB2312" w:eastAsia="仿宋_GB2312" w:hAnsi="宋体" w:cs="宋体" w:hint="eastAsia"/>
          <w:kern w:val="0"/>
          <w:sz w:val="32"/>
          <w:szCs w:val="32"/>
          <w:lang w:bidi="ug-CN"/>
        </w:rPr>
        <w:t>（图</w:t>
      </w:r>
      <w:r>
        <w:rPr>
          <w:rFonts w:ascii="仿宋_GB2312" w:eastAsia="仿宋_GB2312" w:hAnsi="宋体" w:cs="宋体" w:hint="eastAsia"/>
          <w:kern w:val="0"/>
          <w:sz w:val="32"/>
          <w:szCs w:val="32"/>
          <w:lang w:bidi="ug-CN"/>
        </w:rPr>
        <w:t>4</w:t>
      </w:r>
      <w:r>
        <w:rPr>
          <w:rFonts w:ascii="仿宋_GB2312" w:eastAsia="仿宋_GB2312" w:hAnsi="宋体" w:cs="宋体" w:hint="eastAsia"/>
          <w:kern w:val="0"/>
          <w:sz w:val="32"/>
          <w:szCs w:val="32"/>
          <w:lang w:bidi="ug-CN"/>
        </w:rPr>
        <w:t>）</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5.</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黑体" w:cs="宋体" w:hint="eastAsia"/>
          <w:sz w:val="32"/>
          <w:szCs w:val="32"/>
          <w:lang w:bidi="ug-CN"/>
        </w:rPr>
        <w:t>之间</w:t>
      </w:r>
      <w:r>
        <w:rPr>
          <w:rFonts w:ascii="仿宋_GB2312" w:eastAsia="仿宋_GB2312" w:hAnsi="仿宋" w:cs="宋体" w:hint="eastAsia"/>
          <w:sz w:val="32"/>
          <w:szCs w:val="32"/>
          <w:lang w:bidi="ug-CN"/>
        </w:rPr>
        <w:t>道路存在有转角的，按直角分段测量最短距离。（如图</w:t>
      </w:r>
      <w:r>
        <w:rPr>
          <w:rFonts w:ascii="仿宋_GB2312" w:eastAsia="仿宋_GB2312" w:hAnsi="仿宋" w:cs="宋体" w:hint="eastAsia"/>
          <w:sz w:val="32"/>
          <w:szCs w:val="32"/>
          <w:lang w:bidi="ug-CN"/>
        </w:rPr>
        <w:t>5</w:t>
      </w:r>
      <w:r>
        <w:rPr>
          <w:rFonts w:ascii="仿宋_GB2312" w:eastAsia="仿宋_GB2312" w:hAnsi="仿宋" w:cs="宋体" w:hint="eastAsia"/>
          <w:sz w:val="32"/>
          <w:szCs w:val="32"/>
          <w:lang w:bidi="ug-CN"/>
        </w:rPr>
        <w:t>所示）</w:t>
      </w:r>
    </w:p>
    <w:p w:rsidR="005535EE" w:rsidRDefault="00BD0870">
      <w:pPr>
        <w:adjustRightInd w:val="0"/>
        <w:snapToGrid w:val="0"/>
        <w:jc w:val="center"/>
        <w:rPr>
          <w:rFonts w:ascii="方正小标宋简体" w:eastAsia="方正小标宋简体" w:hAnsi="黑体" w:cs="宋体"/>
          <w:sz w:val="32"/>
          <w:szCs w:val="32"/>
        </w:rPr>
      </w:pPr>
      <w:r>
        <w:rPr>
          <w:rFonts w:ascii="方正小标宋简体" w:eastAsia="方正小标宋简体" w:hAnsi="黑体" w:cs="宋体"/>
          <w:noProof/>
          <w:sz w:val="32"/>
          <w:szCs w:val="32"/>
        </w:rPr>
        <w:drawing>
          <wp:inline distT="0" distB="0" distL="0" distR="0">
            <wp:extent cx="5050155" cy="360108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50155" cy="3601085"/>
                    </a:xfrm>
                    <a:prstGeom prst="rect">
                      <a:avLst/>
                    </a:prstGeom>
                    <a:noFill/>
                    <a:ln>
                      <a:noFill/>
                    </a:ln>
                  </pic:spPr>
                </pic:pic>
              </a:graphicData>
            </a:graphic>
          </wp:inline>
        </w:drawing>
      </w:r>
    </w:p>
    <w:p w:rsidR="005535EE" w:rsidRDefault="00BD0870">
      <w:pPr>
        <w:adjustRightInd w:val="0"/>
        <w:snapToGrid w:val="0"/>
        <w:jc w:val="center"/>
        <w:rPr>
          <w:rFonts w:ascii="仿宋_GB2312" w:eastAsia="仿宋_GB2312" w:hAnsi="仿宋" w:cs="宋体"/>
          <w:sz w:val="32"/>
          <w:szCs w:val="32"/>
          <w:lang w:bidi="ug-CN"/>
        </w:rPr>
      </w:pPr>
      <w:r>
        <w:rPr>
          <w:rFonts w:ascii="方正小标宋简体" w:eastAsia="方正小标宋简体" w:hAnsi="黑体" w:cs="宋体" w:hint="eastAsia"/>
          <w:sz w:val="32"/>
          <w:szCs w:val="32"/>
          <w:lang w:bidi="ug-CN"/>
        </w:rPr>
        <w:t>（</w:t>
      </w:r>
      <w:r>
        <w:rPr>
          <w:rFonts w:ascii="仿宋_GB2312" w:eastAsia="仿宋_GB2312" w:hAnsi="宋体" w:cs="宋体" w:hint="eastAsia"/>
          <w:kern w:val="0"/>
          <w:sz w:val="32"/>
          <w:szCs w:val="32"/>
          <w:lang w:bidi="ug-CN"/>
        </w:rPr>
        <w:t>图</w:t>
      </w:r>
      <w:r>
        <w:rPr>
          <w:rFonts w:ascii="仿宋_GB2312" w:eastAsia="仿宋_GB2312" w:hAnsi="宋体" w:cs="宋体" w:hint="eastAsia"/>
          <w:kern w:val="0"/>
          <w:sz w:val="32"/>
          <w:szCs w:val="32"/>
          <w:lang w:bidi="ug-CN"/>
        </w:rPr>
        <w:t>5</w:t>
      </w:r>
      <w:r>
        <w:rPr>
          <w:rFonts w:ascii="仿宋_GB2312" w:eastAsia="仿宋_GB2312" w:hAnsi="宋体" w:cs="宋体" w:hint="eastAsia"/>
          <w:kern w:val="0"/>
          <w:sz w:val="32"/>
          <w:szCs w:val="32"/>
          <w:lang w:bidi="ug-CN"/>
        </w:rPr>
        <w:t>）</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6.</w:t>
      </w:r>
      <w:r>
        <w:rPr>
          <w:rFonts w:ascii="仿宋_GB2312" w:eastAsia="仿宋_GB2312" w:hAnsi="仿宋" w:cs="宋体" w:hint="eastAsia"/>
          <w:sz w:val="32"/>
          <w:szCs w:val="32"/>
          <w:lang w:bidi="ug-CN"/>
        </w:rPr>
        <w:t>以中学、小学、</w:t>
      </w:r>
      <w:r>
        <w:rPr>
          <w:rFonts w:ascii="仿宋_GB2312" w:eastAsia="仿宋_GB2312" w:hAnsi="黑体" w:cs="宋体" w:hint="eastAsia"/>
          <w:sz w:val="32"/>
          <w:szCs w:val="32"/>
          <w:lang w:bidi="ug-CN"/>
        </w:rPr>
        <w:t>幼儿园进出口</w:t>
      </w:r>
      <w:r>
        <w:rPr>
          <w:rFonts w:ascii="仿宋_GB2312" w:eastAsia="仿宋_GB2312" w:hAnsi="宋体" w:cs="宋体" w:hint="eastAsia"/>
          <w:kern w:val="32"/>
          <w:sz w:val="32"/>
          <w:szCs w:val="32"/>
          <w:lang w:bidi="ug-CN"/>
        </w:rPr>
        <w:t>通道为</w:t>
      </w:r>
      <w:r>
        <w:rPr>
          <w:rFonts w:ascii="仿宋_GB2312" w:eastAsia="仿宋_GB2312" w:hAnsi="黑体" w:cs="宋体" w:hint="eastAsia"/>
          <w:sz w:val="32"/>
          <w:szCs w:val="32"/>
          <w:lang w:bidi="ug-CN"/>
        </w:rPr>
        <w:t>参照点的</w:t>
      </w:r>
      <w:r>
        <w:rPr>
          <w:rFonts w:ascii="仿宋_GB2312" w:eastAsia="仿宋_GB2312" w:hAnsi="黑体" w:cs="宋体" w:hint="eastAsia"/>
          <w:sz w:val="32"/>
          <w:szCs w:val="32"/>
          <w:lang w:bidi="ug-CN"/>
        </w:rPr>
        <w:t>,</w:t>
      </w:r>
      <w:r>
        <w:rPr>
          <w:rFonts w:ascii="仿宋_GB2312" w:eastAsia="仿宋_GB2312" w:hAnsi="黑体" w:cs="宋体" w:hint="eastAsia"/>
          <w:sz w:val="32"/>
          <w:szCs w:val="32"/>
          <w:lang w:bidi="ug-CN"/>
        </w:rPr>
        <w:t>参照上述方式进行测量。</w:t>
      </w:r>
    </w:p>
    <w:p w:rsidR="005535EE" w:rsidRDefault="00BD0870">
      <w:pPr>
        <w:snapToGrid w:val="0"/>
        <w:spacing w:line="580" w:lineRule="exact"/>
        <w:ind w:firstLineChars="200" w:firstLine="640"/>
        <w:jc w:val="left"/>
        <w:rPr>
          <w:rFonts w:ascii="仿宋_GB2312" w:eastAsia="仿宋_GB2312" w:hAnsi="宋体" w:cs="宋体"/>
          <w:kern w:val="0"/>
          <w:sz w:val="32"/>
          <w:szCs w:val="32"/>
          <w:lang w:bidi="ug-CN"/>
        </w:rPr>
      </w:pPr>
      <w:r>
        <w:rPr>
          <w:rFonts w:ascii="仿宋_GB2312" w:eastAsia="仿宋_GB2312" w:hAnsi="仿宋" w:cs="宋体" w:hint="eastAsia"/>
          <w:sz w:val="32"/>
          <w:szCs w:val="32"/>
          <w:lang w:bidi="ug-CN"/>
        </w:rPr>
        <w:t>7.</w:t>
      </w:r>
      <w:r>
        <w:rPr>
          <w:rFonts w:ascii="仿宋_GB2312" w:eastAsia="仿宋_GB2312" w:hAnsi="仿宋_GB2312" w:cs="仿宋_GB2312" w:hint="eastAsia"/>
          <w:sz w:val="32"/>
          <w:szCs w:val="32"/>
          <w:lang w:bidi="ug-CN"/>
        </w:rPr>
        <w:t>申请人的经营场所</w:t>
      </w:r>
      <w:r>
        <w:rPr>
          <w:rFonts w:ascii="仿宋_GB2312" w:eastAsia="仿宋_GB2312" w:hAnsi="仿宋" w:cs="宋体" w:hint="eastAsia"/>
          <w:sz w:val="32"/>
          <w:szCs w:val="32"/>
          <w:lang w:bidi="ug-CN"/>
        </w:rPr>
        <w:t>门面多面（多间）贯通且多面经营的，取与最近零售点</w:t>
      </w:r>
      <w:r>
        <w:rPr>
          <w:rFonts w:ascii="仿宋_GB2312" w:eastAsia="仿宋_GB2312" w:hAnsi="黑体" w:cs="宋体" w:hint="eastAsia"/>
          <w:sz w:val="32"/>
          <w:szCs w:val="32"/>
          <w:lang w:bidi="ug-CN"/>
        </w:rPr>
        <w:t>经营场所营业大门中心</w:t>
      </w:r>
      <w:r>
        <w:rPr>
          <w:rFonts w:ascii="仿宋_GB2312" w:eastAsia="仿宋_GB2312" w:hAnsi="宋体" w:cs="宋体" w:hint="eastAsia"/>
          <w:kern w:val="0"/>
          <w:sz w:val="32"/>
          <w:szCs w:val="32"/>
          <w:lang w:bidi="ug-CN"/>
        </w:rPr>
        <w:t>之间进行测量。</w:t>
      </w:r>
    </w:p>
    <w:p w:rsidR="005535EE" w:rsidRDefault="00BD0870">
      <w:pPr>
        <w:snapToGrid w:val="0"/>
        <w:spacing w:line="580" w:lineRule="exact"/>
        <w:ind w:firstLineChars="200" w:firstLine="640"/>
        <w:jc w:val="left"/>
        <w:rPr>
          <w:rFonts w:ascii="仿宋_GB2312" w:eastAsia="仿宋_GB2312" w:hAnsi="仿宋" w:cs="宋体"/>
          <w:sz w:val="32"/>
          <w:szCs w:val="32"/>
          <w:lang w:bidi="ug-CN"/>
        </w:rPr>
      </w:pPr>
      <w:r>
        <w:rPr>
          <w:rFonts w:ascii="仿宋_GB2312" w:eastAsia="仿宋_GB2312" w:hAnsi="仿宋" w:cs="宋体" w:hint="eastAsia"/>
          <w:sz w:val="32"/>
          <w:szCs w:val="32"/>
          <w:lang w:bidi="ug-CN"/>
        </w:rPr>
        <w:t>8.</w:t>
      </w:r>
      <w:r>
        <w:rPr>
          <w:rFonts w:ascii="仿宋_GB2312" w:eastAsia="仿宋_GB2312" w:hAnsi="仿宋" w:cs="宋体" w:hint="eastAsia"/>
          <w:sz w:val="32"/>
          <w:szCs w:val="32"/>
          <w:lang w:bidi="ug-CN"/>
        </w:rPr>
        <w:t>市场、封闭式小区内、广场等区域零售点间距测量方法均以原设计道路、人行通道行人正常安全行走</w:t>
      </w:r>
      <w:r>
        <w:rPr>
          <w:rFonts w:ascii="仿宋_GB2312" w:eastAsia="仿宋_GB2312" w:hAnsi="宋体" w:cs="宋体" w:hint="eastAsia"/>
          <w:kern w:val="0"/>
          <w:sz w:val="32"/>
          <w:szCs w:val="32"/>
          <w:lang w:bidi="ug-CN"/>
        </w:rPr>
        <w:t>的最短距离进行测量。</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9.</w:t>
      </w:r>
      <w:r>
        <w:rPr>
          <w:rFonts w:ascii="仿宋_GB2312" w:eastAsia="仿宋_GB2312" w:hAnsi="仿宋" w:cs="宋体" w:hint="eastAsia"/>
          <w:sz w:val="32"/>
          <w:szCs w:val="32"/>
          <w:lang w:bidi="ug-CN"/>
        </w:rPr>
        <w:t>特殊地形测量：因地形、地貌或设计等原因导致道路、通道成不规则形态，通过前述方法无法测量的，取可安全通行路径最近距离进行测量。</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10.</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之间有台阶、楼梯的，以其平面坡长进行测量（如图</w:t>
      </w:r>
      <w:r>
        <w:rPr>
          <w:rFonts w:ascii="仿宋_GB2312" w:eastAsia="仿宋_GB2312" w:hAnsi="仿宋" w:cs="宋体" w:hint="eastAsia"/>
          <w:sz w:val="32"/>
          <w:szCs w:val="32"/>
          <w:lang w:bidi="ug-CN"/>
        </w:rPr>
        <w:t>6</w:t>
      </w:r>
      <w:r>
        <w:rPr>
          <w:rFonts w:ascii="仿宋_GB2312" w:eastAsia="仿宋_GB2312" w:hAnsi="仿宋" w:cs="宋体" w:hint="eastAsia"/>
          <w:sz w:val="32"/>
          <w:szCs w:val="32"/>
          <w:lang w:bidi="ug-CN"/>
        </w:rPr>
        <w:t>所示）；有电梯的，以层高进行测量；楼梯与电梯并存的，以最短距离的为准。</w:t>
      </w:r>
    </w:p>
    <w:p w:rsidR="005535EE" w:rsidRDefault="00BD0870">
      <w:pPr>
        <w:adjustRightInd w:val="0"/>
        <w:snapToGrid w:val="0"/>
        <w:jc w:val="center"/>
        <w:rPr>
          <w:rFonts w:ascii="仿宋_GB2312" w:eastAsia="仿宋_GB2312" w:hAnsi="黑体" w:cs="宋体"/>
          <w:sz w:val="32"/>
          <w:szCs w:val="32"/>
          <w:lang w:bidi="ug-CN"/>
        </w:rPr>
      </w:pPr>
      <w:r>
        <w:rPr>
          <w:rFonts w:ascii="仿宋_GB2312" w:eastAsia="仿宋_GB2312" w:hAnsi="黑体" w:cs="宋体"/>
          <w:noProof/>
          <w:sz w:val="32"/>
          <w:szCs w:val="32"/>
        </w:rPr>
        <w:drawing>
          <wp:inline distT="0" distB="0" distL="0" distR="0">
            <wp:extent cx="4684395" cy="2110105"/>
            <wp:effectExtent l="0" t="0" r="190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84395" cy="2110105"/>
                    </a:xfrm>
                    <a:prstGeom prst="rect">
                      <a:avLst/>
                    </a:prstGeom>
                    <a:noFill/>
                    <a:ln>
                      <a:noFill/>
                    </a:ln>
                  </pic:spPr>
                </pic:pic>
              </a:graphicData>
            </a:graphic>
          </wp:inline>
        </w:drawing>
      </w:r>
    </w:p>
    <w:p w:rsidR="005535EE" w:rsidRDefault="00BD0870">
      <w:pPr>
        <w:adjustRightInd w:val="0"/>
        <w:snapToGrid w:val="0"/>
        <w:jc w:val="center"/>
        <w:rPr>
          <w:rFonts w:ascii="仿宋_GB2312" w:eastAsia="仿宋_GB2312" w:hAnsi="仿宋" w:cs="宋体"/>
          <w:sz w:val="32"/>
          <w:szCs w:val="32"/>
          <w:lang w:bidi="ug-CN"/>
        </w:rPr>
      </w:pPr>
      <w:r>
        <w:rPr>
          <w:rFonts w:ascii="仿宋_GB2312" w:eastAsia="仿宋_GB2312" w:hAnsi="黑体" w:cs="宋体" w:hint="eastAsia"/>
          <w:sz w:val="32"/>
          <w:szCs w:val="32"/>
          <w:lang w:bidi="ug-CN"/>
        </w:rPr>
        <w:t>（</w:t>
      </w:r>
      <w:r>
        <w:rPr>
          <w:rFonts w:ascii="仿宋_GB2312" w:eastAsia="仿宋_GB2312" w:hAnsi="仿宋" w:cs="宋体" w:hint="eastAsia"/>
          <w:sz w:val="32"/>
          <w:szCs w:val="32"/>
          <w:lang w:bidi="ug-CN"/>
        </w:rPr>
        <w:t>图</w:t>
      </w:r>
      <w:r>
        <w:rPr>
          <w:rFonts w:ascii="仿宋_GB2312" w:eastAsia="仿宋_GB2312" w:hAnsi="仿宋" w:cs="宋体" w:hint="eastAsia"/>
          <w:sz w:val="32"/>
          <w:szCs w:val="32"/>
          <w:lang w:bidi="ug-CN"/>
        </w:rPr>
        <w:t>6</w:t>
      </w:r>
      <w:r>
        <w:rPr>
          <w:rFonts w:ascii="仿宋_GB2312" w:eastAsia="仿宋_GB2312" w:hAnsi="仿宋" w:cs="宋体" w:hint="eastAsia"/>
          <w:sz w:val="32"/>
          <w:szCs w:val="32"/>
          <w:lang w:bidi="ug-CN"/>
        </w:rPr>
        <w:t>）</w:t>
      </w:r>
    </w:p>
    <w:p w:rsidR="005535EE" w:rsidRDefault="00BD0870">
      <w:pPr>
        <w:adjustRightInd w:val="0"/>
        <w:snapToGrid w:val="0"/>
        <w:spacing w:line="580" w:lineRule="exact"/>
        <w:ind w:firstLineChars="200" w:firstLine="640"/>
        <w:rPr>
          <w:rFonts w:ascii="仿宋_GB2312" w:eastAsia="仿宋_GB2312" w:hAnsi="仿宋" w:cs="宋体"/>
          <w:sz w:val="32"/>
          <w:szCs w:val="32"/>
          <w:lang w:bidi="ug-CN"/>
        </w:rPr>
      </w:pPr>
      <w:r>
        <w:rPr>
          <w:rFonts w:ascii="仿宋_GB2312" w:eastAsia="仿宋_GB2312" w:hAnsi="仿宋" w:cs="宋体" w:hint="eastAsia"/>
          <w:sz w:val="32"/>
          <w:szCs w:val="32"/>
          <w:lang w:bidi="ug-CN"/>
        </w:rPr>
        <w:t>11.</w:t>
      </w:r>
      <w:r>
        <w:rPr>
          <w:rFonts w:ascii="仿宋_GB2312" w:eastAsia="仿宋_GB2312" w:hAnsi="仿宋" w:cs="宋体" w:hint="eastAsia"/>
          <w:sz w:val="32"/>
          <w:szCs w:val="32"/>
          <w:lang w:bidi="ug-CN"/>
        </w:rPr>
        <w:t>间距测量时测量值超出零售点设置标准要求</w:t>
      </w:r>
      <w:r>
        <w:rPr>
          <w:rFonts w:ascii="仿宋_GB2312" w:eastAsia="仿宋_GB2312" w:hAnsi="仿宋" w:cs="宋体" w:hint="eastAsia"/>
          <w:sz w:val="32"/>
          <w:szCs w:val="32"/>
          <w:lang w:bidi="ug-CN"/>
        </w:rPr>
        <w:t>20%</w:t>
      </w:r>
      <w:r>
        <w:rPr>
          <w:rFonts w:ascii="仿宋_GB2312" w:eastAsia="仿宋_GB2312" w:hAnsi="仿宋" w:cs="宋体" w:hint="eastAsia"/>
          <w:sz w:val="32"/>
          <w:szCs w:val="32"/>
          <w:lang w:bidi="ug-CN"/>
        </w:rPr>
        <w:t>以上的，注明“内无零售点”即可（如规定</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间</w:t>
      </w:r>
      <w:r>
        <w:rPr>
          <w:rFonts w:ascii="仿宋_GB2312" w:eastAsia="仿宋_GB2312" w:hAnsi="黑体" w:cs="宋体" w:hint="eastAsia"/>
          <w:sz w:val="32"/>
          <w:szCs w:val="32"/>
          <w:lang w:bidi="ug-CN"/>
        </w:rPr>
        <w:t>距</w:t>
      </w:r>
      <w:r>
        <w:rPr>
          <w:rFonts w:ascii="仿宋_GB2312" w:eastAsia="仿宋_GB2312" w:hAnsi="仿宋" w:cs="宋体" w:hint="eastAsia"/>
          <w:sz w:val="32"/>
          <w:szCs w:val="32"/>
          <w:lang w:bidi="ug-CN"/>
        </w:rPr>
        <w:t>要达到</w:t>
      </w:r>
      <w:r>
        <w:rPr>
          <w:rFonts w:ascii="仿宋_GB2312" w:eastAsia="仿宋_GB2312" w:hAnsi="仿宋" w:cs="宋体" w:hint="eastAsia"/>
          <w:sz w:val="32"/>
          <w:szCs w:val="32"/>
          <w:lang w:bidi="ug-CN"/>
        </w:rPr>
        <w:t>100</w:t>
      </w:r>
      <w:r>
        <w:rPr>
          <w:rFonts w:ascii="仿宋_GB2312" w:eastAsia="仿宋_GB2312" w:hAnsi="仿宋" w:cs="宋体" w:hint="eastAsia"/>
          <w:sz w:val="32"/>
          <w:szCs w:val="32"/>
          <w:lang w:bidi="ug-CN"/>
        </w:rPr>
        <w:t>米以上，测量时超过</w:t>
      </w:r>
      <w:r>
        <w:rPr>
          <w:rFonts w:ascii="仿宋_GB2312" w:eastAsia="仿宋_GB2312" w:hAnsi="仿宋" w:cs="宋体" w:hint="eastAsia"/>
          <w:sz w:val="32"/>
          <w:szCs w:val="32"/>
          <w:lang w:bidi="ug-CN"/>
        </w:rPr>
        <w:t>120</w:t>
      </w:r>
      <w:r>
        <w:rPr>
          <w:rFonts w:ascii="仿宋_GB2312" w:eastAsia="仿宋_GB2312" w:hAnsi="仿宋" w:cs="宋体" w:hint="eastAsia"/>
          <w:sz w:val="32"/>
          <w:szCs w:val="32"/>
          <w:lang w:bidi="ug-CN"/>
        </w:rPr>
        <w:t>米的，可注明“</w:t>
      </w:r>
      <w:r>
        <w:rPr>
          <w:rFonts w:ascii="仿宋_GB2312" w:eastAsia="仿宋_GB2312" w:hAnsi="仿宋" w:cs="宋体" w:hint="eastAsia"/>
          <w:sz w:val="32"/>
          <w:szCs w:val="32"/>
          <w:lang w:bidi="ug-CN"/>
        </w:rPr>
        <w:t>120</w:t>
      </w:r>
      <w:r>
        <w:rPr>
          <w:rFonts w:ascii="仿宋_GB2312" w:eastAsia="仿宋_GB2312" w:hAnsi="仿宋" w:cs="宋体" w:hint="eastAsia"/>
          <w:sz w:val="32"/>
          <w:szCs w:val="32"/>
          <w:lang w:bidi="ug-CN"/>
        </w:rPr>
        <w:t>米范围内无零售点”）。</w:t>
      </w:r>
      <w:r>
        <w:rPr>
          <w:rFonts w:ascii="仿宋_GB2312" w:eastAsia="仿宋_GB2312" w:hAnsi="仿宋" w:cs="宋体" w:hint="eastAsia"/>
          <w:sz w:val="32"/>
          <w:szCs w:val="32"/>
          <w:lang w:bidi="ug-CN"/>
        </w:rPr>
        <w:t xml:space="preserve"> </w:t>
      </w:r>
    </w:p>
    <w:p w:rsidR="005535EE" w:rsidRDefault="00BD0870">
      <w:pPr>
        <w:adjustRightInd w:val="0"/>
        <w:snapToGrid w:val="0"/>
        <w:spacing w:line="580" w:lineRule="exact"/>
        <w:ind w:firstLineChars="200" w:firstLine="640"/>
        <w:rPr>
          <w:rFonts w:ascii="宋体" w:hAnsi="宋体"/>
          <w:sz w:val="32"/>
          <w:szCs w:val="32"/>
        </w:rPr>
      </w:pPr>
      <w:r>
        <w:rPr>
          <w:rFonts w:ascii="仿宋_GB2312" w:eastAsia="仿宋_GB2312" w:hAnsi="宋体" w:cs="宋体" w:hint="eastAsia"/>
          <w:sz w:val="32"/>
          <w:szCs w:val="32"/>
          <w:lang w:bidi="ug-CN"/>
        </w:rPr>
        <w:t>12</w:t>
      </w:r>
      <w:r>
        <w:rPr>
          <w:rFonts w:ascii="仿宋_GB2312" w:eastAsia="仿宋_GB2312" w:hAnsi="宋体" w:cs="宋体" w:hint="eastAsia"/>
          <w:sz w:val="32"/>
          <w:szCs w:val="32"/>
          <w:lang w:bidi="ug-CN"/>
        </w:rPr>
        <w:t>．</w:t>
      </w:r>
      <w:r>
        <w:rPr>
          <w:rFonts w:ascii="仿宋_GB2312" w:eastAsia="仿宋_GB2312" w:hAnsi="黑体" w:cs="宋体" w:hint="eastAsia"/>
          <w:sz w:val="32"/>
          <w:szCs w:val="32"/>
          <w:lang w:bidi="ug-CN"/>
        </w:rPr>
        <w:t>测量工具使用符合国家统一标准的测量工具。</w:t>
      </w:r>
      <w:bookmarkStart w:id="0" w:name="ContentEnd"/>
      <w:bookmarkStart w:id="1" w:name="DocEnd"/>
      <w:bookmarkEnd w:id="0"/>
      <w:bookmarkEnd w:id="1"/>
    </w:p>
    <w:p w:rsidR="005535EE" w:rsidRDefault="005535EE">
      <w:pPr>
        <w:adjustRightInd w:val="0"/>
        <w:snapToGrid w:val="0"/>
        <w:spacing w:line="240" w:lineRule="atLeast"/>
        <w:jc w:val="left"/>
        <w:rPr>
          <w:rFonts w:ascii="仿宋_GB2312" w:eastAsia="仿宋_GB2312"/>
          <w:color w:val="000000"/>
          <w:kern w:val="0"/>
          <w:sz w:val="32"/>
          <w:szCs w:val="32"/>
          <w:lang w:bidi="en-US"/>
        </w:rPr>
      </w:pPr>
    </w:p>
    <w:p w:rsidR="005535EE" w:rsidRDefault="005535EE"/>
    <w:sectPr w:rsidR="005535EE" w:rsidSect="005535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ZjhkNDFiNzE2YjEwNjYzNzg3NzA3ZmU2ODEyOTdjNTMifQ=="/>
  </w:docVars>
  <w:rsids>
    <w:rsidRoot w:val="00343C07"/>
    <w:rsid w:val="00231264"/>
    <w:rsid w:val="00343C07"/>
    <w:rsid w:val="003D4546"/>
    <w:rsid w:val="00485C6F"/>
    <w:rsid w:val="005535EE"/>
    <w:rsid w:val="006D03D8"/>
    <w:rsid w:val="006D6483"/>
    <w:rsid w:val="00710D88"/>
    <w:rsid w:val="007F65DA"/>
    <w:rsid w:val="008D5E6D"/>
    <w:rsid w:val="008F41B9"/>
    <w:rsid w:val="00985E30"/>
    <w:rsid w:val="009F0332"/>
    <w:rsid w:val="00A75801"/>
    <w:rsid w:val="00A8240C"/>
    <w:rsid w:val="00BD0870"/>
    <w:rsid w:val="00C01867"/>
    <w:rsid w:val="00CD04F7"/>
    <w:rsid w:val="00D1783B"/>
    <w:rsid w:val="00DD1F87"/>
    <w:rsid w:val="00E33E29"/>
    <w:rsid w:val="00E81B9F"/>
    <w:rsid w:val="00ED4574"/>
    <w:rsid w:val="00F0002A"/>
    <w:rsid w:val="1F2F41FD"/>
    <w:rsid w:val="3AB25D9C"/>
    <w:rsid w:val="6A700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EE"/>
    <w:pPr>
      <w:widowControl w:val="0"/>
      <w:jc w:val="both"/>
    </w:pPr>
    <w:rPr>
      <w:kern w:val="2"/>
      <w:sz w:val="21"/>
      <w:szCs w:val="22"/>
    </w:rPr>
  </w:style>
  <w:style w:type="paragraph" w:styleId="1">
    <w:name w:val="heading 1"/>
    <w:basedOn w:val="a"/>
    <w:next w:val="a"/>
    <w:link w:val="1Char"/>
    <w:uiPriority w:val="9"/>
    <w:qFormat/>
    <w:rsid w:val="005535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35EE"/>
    <w:rPr>
      <w:sz w:val="18"/>
      <w:szCs w:val="18"/>
    </w:rPr>
  </w:style>
  <w:style w:type="paragraph" w:styleId="a4">
    <w:name w:val="footer"/>
    <w:basedOn w:val="a"/>
    <w:link w:val="Char0"/>
    <w:uiPriority w:val="99"/>
    <w:unhideWhenUsed/>
    <w:rsid w:val="005535EE"/>
    <w:pPr>
      <w:tabs>
        <w:tab w:val="center" w:pos="4153"/>
        <w:tab w:val="right" w:pos="8306"/>
      </w:tabs>
      <w:snapToGrid w:val="0"/>
      <w:jc w:val="left"/>
    </w:pPr>
    <w:rPr>
      <w:sz w:val="18"/>
      <w:szCs w:val="18"/>
    </w:rPr>
  </w:style>
  <w:style w:type="paragraph" w:styleId="a5">
    <w:name w:val="header"/>
    <w:basedOn w:val="a"/>
    <w:link w:val="Char1"/>
    <w:uiPriority w:val="99"/>
    <w:unhideWhenUsed/>
    <w:rsid w:val="005535E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535E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5535EE"/>
    <w:rPr>
      <w:sz w:val="18"/>
      <w:szCs w:val="18"/>
    </w:rPr>
  </w:style>
  <w:style w:type="character" w:customStyle="1" w:styleId="Char0">
    <w:name w:val="页脚 Char"/>
    <w:basedOn w:val="a0"/>
    <w:link w:val="a4"/>
    <w:uiPriority w:val="99"/>
    <w:rsid w:val="005535EE"/>
    <w:rPr>
      <w:sz w:val="18"/>
      <w:szCs w:val="18"/>
    </w:rPr>
  </w:style>
  <w:style w:type="character" w:customStyle="1" w:styleId="1Char">
    <w:name w:val="标题 1 Char"/>
    <w:basedOn w:val="a0"/>
    <w:link w:val="1"/>
    <w:uiPriority w:val="9"/>
    <w:rsid w:val="005535EE"/>
    <w:rPr>
      <w:rFonts w:ascii="宋体" w:eastAsia="宋体" w:hAnsi="宋体" w:cs="宋体"/>
      <w:b/>
      <w:bCs/>
      <w:kern w:val="36"/>
      <w:sz w:val="48"/>
      <w:szCs w:val="48"/>
    </w:rPr>
  </w:style>
  <w:style w:type="paragraph" w:customStyle="1" w:styleId="-1">
    <w:name w:val="正文-公1"/>
    <w:basedOn w:val="a"/>
    <w:next w:val="a5"/>
    <w:qFormat/>
    <w:rsid w:val="005535EE"/>
    <w:pPr>
      <w:ind w:firstLineChars="200" w:firstLine="200"/>
    </w:pPr>
    <w:rPr>
      <w:rFonts w:ascii="Times New Roman" w:eastAsia="宋体" w:hAnsi="Times New Roman" w:cs="Times New Roman"/>
      <w:szCs w:val="24"/>
    </w:rPr>
  </w:style>
  <w:style w:type="character" w:customStyle="1" w:styleId="Char">
    <w:name w:val="批注框文本 Char"/>
    <w:basedOn w:val="a0"/>
    <w:link w:val="a3"/>
    <w:uiPriority w:val="99"/>
    <w:semiHidden/>
    <w:rsid w:val="005535EE"/>
    <w:rPr>
      <w:sz w:val="18"/>
      <w:szCs w:val="18"/>
    </w:rPr>
  </w:style>
  <w:style w:type="paragraph" w:customStyle="1" w:styleId="10">
    <w:name w:val="修订1"/>
    <w:hidden/>
    <w:uiPriority w:val="99"/>
    <w:semiHidden/>
    <w:rsid w:val="005535EE"/>
    <w:rPr>
      <w:kern w:val="2"/>
      <w:sz w:val="21"/>
      <w:szCs w:val="22"/>
    </w:rPr>
  </w:style>
  <w:style w:type="character" w:customStyle="1" w:styleId="yuyunumhidden">
    <w:name w:val="yuyun_umhidden"/>
    <w:basedOn w:val="a0"/>
    <w:rsid w:val="00BD0870"/>
  </w:style>
  <w:style w:type="character" w:styleId="a7">
    <w:name w:val="Strong"/>
    <w:basedOn w:val="a0"/>
    <w:uiPriority w:val="22"/>
    <w:qFormat/>
    <w:rsid w:val="00BD0870"/>
    <w:rPr>
      <w:b/>
      <w:bCs/>
    </w:rPr>
  </w:style>
</w:styles>
</file>

<file path=word/webSettings.xml><?xml version="1.0" encoding="utf-8"?>
<w:webSettings xmlns:r="http://schemas.openxmlformats.org/officeDocument/2006/relationships" xmlns:w="http://schemas.openxmlformats.org/wordprocessingml/2006/main">
  <w:divs>
    <w:div w:id="31372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1309</Words>
  <Characters>7465</Characters>
  <Application>Microsoft Office Word</Application>
  <DocSecurity>0</DocSecurity>
  <Lines>62</Lines>
  <Paragraphs>17</Paragraphs>
  <ScaleCrop>false</ScaleCrop>
  <Company>微软中国</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中软国际</dc:creator>
  <cp:lastModifiedBy>Administrator</cp:lastModifiedBy>
  <cp:revision>2</cp:revision>
  <cp:lastPrinted>2023-08-17T01:27:00Z</cp:lastPrinted>
  <dcterms:created xsi:type="dcterms:W3CDTF">2023-08-17T01:56:00Z</dcterms:created>
  <dcterms:modified xsi:type="dcterms:W3CDTF">2023-08-17T01:56:00Z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1B217B7342F441B6A13F115756AA472B_12</vt:lpwstr>
  </property>
</Properties>
</file>