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color w:val="auto"/>
        </w:rPr>
      </w:pPr>
    </w:p>
    <w:p>
      <w:pPr>
        <w:ind w:left="0" w:leftChars="0" w:firstLine="0" w:firstLineChars="0"/>
        <w:jc w:val="center"/>
        <w:rPr>
          <w:rFonts w:hint="eastAsia" w:ascii="宋体" w:hAnsi="宋体" w:eastAsia="宋体" w:cs="宋体"/>
          <w:b/>
          <w:bCs/>
          <w:color w:val="auto"/>
          <w:sz w:val="44"/>
          <w:szCs w:val="44"/>
        </w:rPr>
      </w:pPr>
      <w:r>
        <w:rPr>
          <w:rFonts w:hint="eastAsia" w:ascii="宋体" w:hAnsi="宋体" w:eastAsia="宋体" w:cs="宋体"/>
          <w:b/>
          <w:bCs/>
          <w:color w:val="auto"/>
          <w:sz w:val="44"/>
          <w:szCs w:val="44"/>
        </w:rPr>
        <w:t>贵州开阳经济开发区（开阳县工业园区）</w:t>
      </w:r>
    </w:p>
    <w:p>
      <w:pPr>
        <w:rPr>
          <w:rFonts w:hint="eastAsia"/>
          <w:color w:val="auto"/>
        </w:rPr>
      </w:pPr>
    </w:p>
    <w:p>
      <w:pPr>
        <w:ind w:left="0" w:leftChars="0" w:firstLine="0" w:firstLineChars="0"/>
        <w:jc w:val="center"/>
        <w:rPr>
          <w:rFonts w:hint="eastAsia" w:ascii="黑体" w:hAnsi="黑体" w:eastAsia="黑体" w:cs="黑体"/>
          <w:b/>
          <w:bCs/>
          <w:color w:val="auto"/>
          <w:sz w:val="72"/>
          <w:szCs w:val="72"/>
        </w:rPr>
      </w:pPr>
      <w:r>
        <w:rPr>
          <w:rFonts w:hint="eastAsia" w:ascii="黑体" w:hAnsi="黑体" w:eastAsia="黑体" w:cs="黑体"/>
          <w:b/>
          <w:bCs/>
          <w:color w:val="auto"/>
          <w:sz w:val="72"/>
          <w:szCs w:val="72"/>
        </w:rPr>
        <w:t>区域节能报告</w:t>
      </w: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ind w:left="0" w:leftChars="0" w:firstLine="0" w:firstLineChars="0"/>
        <w:jc w:val="center"/>
        <w:rPr>
          <w:rFonts w:hint="eastAsia" w:ascii="宋体" w:hAnsi="宋体" w:eastAsia="宋体" w:cs="宋体"/>
          <w:b/>
          <w:bCs/>
          <w:color w:val="auto"/>
          <w:sz w:val="36"/>
          <w:szCs w:val="36"/>
        </w:rPr>
      </w:pPr>
      <w:r>
        <w:rPr>
          <w:rFonts w:hint="eastAsia" w:ascii="宋体" w:hAnsi="宋体" w:eastAsia="宋体" w:cs="宋体"/>
          <w:b/>
          <w:bCs/>
          <w:color w:val="auto"/>
          <w:sz w:val="36"/>
          <w:szCs w:val="36"/>
        </w:rPr>
        <w:t>贵州环之源工程技术咨询有限公司</w:t>
      </w:r>
    </w:p>
    <w:p>
      <w:pPr>
        <w:ind w:left="0" w:leftChars="0" w:firstLine="0" w:firstLineChars="0"/>
        <w:jc w:val="center"/>
        <w:rPr>
          <w:rFonts w:hint="eastAsia" w:ascii="宋体" w:hAnsi="宋体" w:eastAsia="宋体" w:cs="宋体"/>
          <w:b/>
          <w:bCs/>
          <w:color w:val="auto"/>
          <w:sz w:val="36"/>
          <w:szCs w:val="36"/>
        </w:rPr>
      </w:pPr>
    </w:p>
    <w:p>
      <w:pPr>
        <w:ind w:left="0" w:leftChars="0" w:firstLine="0" w:firstLineChars="0"/>
        <w:jc w:val="center"/>
        <w:rPr>
          <w:rFonts w:hint="eastAsia" w:ascii="宋体" w:hAnsi="宋体" w:eastAsia="宋体" w:cs="宋体"/>
          <w:b/>
          <w:bCs/>
          <w:color w:val="auto"/>
          <w:sz w:val="36"/>
          <w:szCs w:val="36"/>
        </w:rPr>
      </w:pPr>
      <w:r>
        <w:rPr>
          <w:rFonts w:hint="eastAsia" w:ascii="宋体" w:hAnsi="宋体" w:eastAsia="宋体" w:cs="宋体"/>
          <w:b/>
          <w:bCs/>
          <w:color w:val="auto"/>
          <w:sz w:val="36"/>
          <w:szCs w:val="36"/>
        </w:rPr>
        <w:t>二〇二二年</w:t>
      </w:r>
      <w:r>
        <w:rPr>
          <w:rFonts w:hint="eastAsia" w:ascii="宋体" w:hAnsi="宋体" w:eastAsia="宋体" w:cs="宋体"/>
          <w:b/>
          <w:bCs/>
          <w:color w:val="auto"/>
          <w:sz w:val="36"/>
          <w:szCs w:val="36"/>
          <w:lang w:val="en-US" w:eastAsia="zh-CN"/>
        </w:rPr>
        <w:t>七</w:t>
      </w:r>
      <w:r>
        <w:rPr>
          <w:rFonts w:hint="eastAsia" w:ascii="宋体" w:hAnsi="宋体" w:eastAsia="宋体" w:cs="宋体"/>
          <w:b/>
          <w:bCs/>
          <w:color w:val="auto"/>
          <w:sz w:val="36"/>
          <w:szCs w:val="36"/>
        </w:rPr>
        <w:t>月</w:t>
      </w:r>
    </w:p>
    <w:p>
      <w:pPr>
        <w:jc w:val="center"/>
        <w:rPr>
          <w:rFonts w:hint="eastAsia"/>
          <w:b/>
          <w:bCs/>
          <w:color w:val="auto"/>
          <w:lang w:val="en-US" w:eastAsia="zh-CN"/>
        </w:rPr>
        <w:sectPr>
          <w:pgSz w:w="11906" w:h="16838"/>
          <w:pgMar w:top="1440" w:right="1800" w:bottom="1440" w:left="1800" w:header="851" w:footer="992" w:gutter="0"/>
          <w:cols w:space="425" w:num="1"/>
          <w:docGrid w:type="lines" w:linePitch="312" w:charSpace="0"/>
        </w:sectPr>
      </w:pPr>
    </w:p>
    <w:p>
      <w:pPr>
        <w:jc w:val="center"/>
        <w:rPr>
          <w:rFonts w:hint="eastAsia"/>
          <w:b/>
          <w:bCs/>
          <w:color w:val="auto"/>
          <w:lang w:val="en-US" w:eastAsia="zh-CN"/>
        </w:rPr>
      </w:pPr>
      <w:r>
        <w:rPr>
          <w:rFonts w:hint="eastAsia"/>
          <w:b/>
          <w:bCs/>
          <w:color w:val="auto"/>
          <w:lang w:val="en-US" w:eastAsia="zh-CN"/>
        </w:rPr>
        <w:t>目 录</w:t>
      </w:r>
    </w:p>
    <w:p>
      <w:pPr>
        <w:pStyle w:val="9"/>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TOC \o "1-3" \h \u </w:instrText>
      </w:r>
      <w:r>
        <w:rPr>
          <w:rFonts w:hint="eastAsia"/>
          <w:color w:val="auto"/>
          <w:lang w:val="en-US" w:eastAsia="zh-CN"/>
        </w:rPr>
        <w:fldChar w:fldCharType="separate"/>
      </w:r>
      <w:r>
        <w:rPr>
          <w:rFonts w:hint="eastAsia"/>
          <w:color w:val="auto"/>
          <w:lang w:val="en-US" w:eastAsia="zh-CN"/>
        </w:rPr>
        <w:fldChar w:fldCharType="begin"/>
      </w:r>
      <w:r>
        <w:rPr>
          <w:rFonts w:hint="eastAsia"/>
          <w:color w:val="auto"/>
          <w:lang w:val="en-US" w:eastAsia="zh-CN"/>
        </w:rPr>
        <w:instrText xml:space="preserve"> HYPERLINK \l _Toc25408 </w:instrText>
      </w:r>
      <w:r>
        <w:rPr>
          <w:rFonts w:hint="eastAsia"/>
          <w:color w:val="auto"/>
          <w:lang w:val="en-US" w:eastAsia="zh-CN"/>
        </w:rPr>
        <w:fldChar w:fldCharType="separate"/>
      </w:r>
      <w:r>
        <w:rPr>
          <w:rFonts w:hint="eastAsia"/>
          <w:color w:val="auto"/>
          <w:lang w:val="en-US" w:eastAsia="zh-CN"/>
        </w:rPr>
        <w:t>第一章 总论</w:t>
      </w:r>
      <w:r>
        <w:rPr>
          <w:color w:val="auto"/>
        </w:rPr>
        <w:tab/>
      </w:r>
      <w:r>
        <w:rPr>
          <w:color w:val="auto"/>
        </w:rPr>
        <w:fldChar w:fldCharType="begin"/>
      </w:r>
      <w:r>
        <w:rPr>
          <w:color w:val="auto"/>
        </w:rPr>
        <w:instrText xml:space="preserve"> PAGEREF _Toc25408 \h </w:instrText>
      </w:r>
      <w:r>
        <w:rPr>
          <w:color w:val="auto"/>
        </w:rPr>
        <w:fldChar w:fldCharType="separate"/>
      </w:r>
      <w:r>
        <w:rPr>
          <w:color w:val="auto"/>
        </w:rPr>
        <w:t>6</w:t>
      </w:r>
      <w:r>
        <w:rPr>
          <w:color w:val="auto"/>
        </w:rPr>
        <w:fldChar w:fldCharType="end"/>
      </w:r>
      <w:r>
        <w:rPr>
          <w:rFonts w:hint="eastAsia"/>
          <w:color w:val="auto"/>
          <w:lang w:val="en-US" w:eastAsia="zh-CN"/>
        </w:rPr>
        <w:fldChar w:fldCharType="end"/>
      </w:r>
    </w:p>
    <w:p>
      <w:pPr>
        <w:pStyle w:val="10"/>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_Toc1038 </w:instrText>
      </w:r>
      <w:r>
        <w:rPr>
          <w:rFonts w:hint="eastAsia"/>
          <w:color w:val="auto"/>
          <w:lang w:val="en-US" w:eastAsia="zh-CN"/>
        </w:rPr>
        <w:fldChar w:fldCharType="separate"/>
      </w:r>
      <w:r>
        <w:rPr>
          <w:rFonts w:hint="eastAsia"/>
          <w:color w:val="auto"/>
          <w:lang w:val="en-US" w:eastAsia="zh-CN"/>
        </w:rPr>
        <w:t>1.1 项目背景</w:t>
      </w:r>
      <w:r>
        <w:rPr>
          <w:color w:val="auto"/>
        </w:rPr>
        <w:tab/>
      </w:r>
      <w:r>
        <w:rPr>
          <w:color w:val="auto"/>
        </w:rPr>
        <w:fldChar w:fldCharType="begin"/>
      </w:r>
      <w:r>
        <w:rPr>
          <w:color w:val="auto"/>
        </w:rPr>
        <w:instrText xml:space="preserve"> PAGEREF _Toc1038 \h </w:instrText>
      </w:r>
      <w:r>
        <w:rPr>
          <w:color w:val="auto"/>
        </w:rPr>
        <w:fldChar w:fldCharType="separate"/>
      </w:r>
      <w:r>
        <w:rPr>
          <w:color w:val="auto"/>
        </w:rPr>
        <w:t>6</w:t>
      </w:r>
      <w:r>
        <w:rPr>
          <w:color w:val="auto"/>
        </w:rPr>
        <w:fldChar w:fldCharType="end"/>
      </w:r>
      <w:r>
        <w:rPr>
          <w:rFonts w:hint="eastAsia"/>
          <w:color w:val="auto"/>
          <w:lang w:val="en-US" w:eastAsia="zh-CN"/>
        </w:rPr>
        <w:fldChar w:fldCharType="end"/>
      </w:r>
    </w:p>
    <w:p>
      <w:pPr>
        <w:pStyle w:val="10"/>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_Toc5930 </w:instrText>
      </w:r>
      <w:r>
        <w:rPr>
          <w:rFonts w:hint="eastAsia"/>
          <w:color w:val="auto"/>
          <w:lang w:val="en-US" w:eastAsia="zh-CN"/>
        </w:rPr>
        <w:fldChar w:fldCharType="separate"/>
      </w:r>
      <w:r>
        <w:rPr>
          <w:rFonts w:hint="eastAsia"/>
          <w:color w:val="auto"/>
          <w:lang w:val="en-US" w:eastAsia="zh-CN"/>
        </w:rPr>
        <w:t>1.2 区域界定</w:t>
      </w:r>
      <w:r>
        <w:rPr>
          <w:color w:val="auto"/>
        </w:rPr>
        <w:tab/>
      </w:r>
      <w:r>
        <w:rPr>
          <w:color w:val="auto"/>
        </w:rPr>
        <w:fldChar w:fldCharType="begin"/>
      </w:r>
      <w:r>
        <w:rPr>
          <w:color w:val="auto"/>
        </w:rPr>
        <w:instrText xml:space="preserve"> PAGEREF _Toc5930 \h </w:instrText>
      </w:r>
      <w:r>
        <w:rPr>
          <w:color w:val="auto"/>
        </w:rPr>
        <w:fldChar w:fldCharType="separate"/>
      </w:r>
      <w:r>
        <w:rPr>
          <w:color w:val="auto"/>
        </w:rPr>
        <w:t>7</w:t>
      </w:r>
      <w:r>
        <w:rPr>
          <w:color w:val="auto"/>
        </w:rPr>
        <w:fldChar w:fldCharType="end"/>
      </w:r>
      <w:r>
        <w:rPr>
          <w:rFonts w:hint="eastAsia"/>
          <w:color w:val="auto"/>
          <w:lang w:val="en-US" w:eastAsia="zh-CN"/>
        </w:rPr>
        <w:fldChar w:fldCharType="end"/>
      </w:r>
    </w:p>
    <w:p>
      <w:pPr>
        <w:pStyle w:val="10"/>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_Toc28852 </w:instrText>
      </w:r>
      <w:r>
        <w:rPr>
          <w:rFonts w:hint="eastAsia"/>
          <w:color w:val="auto"/>
          <w:lang w:val="en-US" w:eastAsia="zh-CN"/>
        </w:rPr>
        <w:fldChar w:fldCharType="separate"/>
      </w:r>
      <w:r>
        <w:rPr>
          <w:rFonts w:hint="eastAsia"/>
          <w:color w:val="auto"/>
          <w:lang w:val="en-US" w:eastAsia="zh-CN"/>
        </w:rPr>
        <w:t>1.3 编制依据</w:t>
      </w:r>
      <w:r>
        <w:rPr>
          <w:color w:val="auto"/>
        </w:rPr>
        <w:tab/>
      </w:r>
      <w:r>
        <w:rPr>
          <w:color w:val="auto"/>
        </w:rPr>
        <w:fldChar w:fldCharType="begin"/>
      </w:r>
      <w:r>
        <w:rPr>
          <w:color w:val="auto"/>
        </w:rPr>
        <w:instrText xml:space="preserve"> PAGEREF _Toc28852 \h </w:instrText>
      </w:r>
      <w:r>
        <w:rPr>
          <w:color w:val="auto"/>
        </w:rPr>
        <w:fldChar w:fldCharType="separate"/>
      </w:r>
      <w:r>
        <w:rPr>
          <w:color w:val="auto"/>
        </w:rPr>
        <w:t>10</w:t>
      </w:r>
      <w:r>
        <w:rPr>
          <w:color w:val="auto"/>
        </w:rPr>
        <w:fldChar w:fldCharType="end"/>
      </w:r>
      <w:r>
        <w:rPr>
          <w:rFonts w:hint="eastAsia"/>
          <w:color w:val="auto"/>
          <w:lang w:val="en-US" w:eastAsia="zh-CN"/>
        </w:rPr>
        <w:fldChar w:fldCharType="end"/>
      </w:r>
    </w:p>
    <w:p>
      <w:pPr>
        <w:pStyle w:val="6"/>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_Toc4396 </w:instrText>
      </w:r>
      <w:r>
        <w:rPr>
          <w:rFonts w:hint="eastAsia"/>
          <w:color w:val="auto"/>
          <w:lang w:val="en-US" w:eastAsia="zh-CN"/>
        </w:rPr>
        <w:fldChar w:fldCharType="separate"/>
      </w:r>
      <w:r>
        <w:rPr>
          <w:rFonts w:hint="eastAsia"/>
          <w:color w:val="auto"/>
          <w:lang w:val="en-US" w:eastAsia="zh-CN"/>
        </w:rPr>
        <w:t>1.3.1法律法规、规划及产业政策、行业准入条件</w:t>
      </w:r>
      <w:r>
        <w:rPr>
          <w:color w:val="auto"/>
        </w:rPr>
        <w:tab/>
      </w:r>
      <w:r>
        <w:rPr>
          <w:color w:val="auto"/>
        </w:rPr>
        <w:fldChar w:fldCharType="begin"/>
      </w:r>
      <w:r>
        <w:rPr>
          <w:color w:val="auto"/>
        </w:rPr>
        <w:instrText xml:space="preserve"> PAGEREF _Toc4396 \h </w:instrText>
      </w:r>
      <w:r>
        <w:rPr>
          <w:color w:val="auto"/>
        </w:rPr>
        <w:fldChar w:fldCharType="separate"/>
      </w:r>
      <w:r>
        <w:rPr>
          <w:color w:val="auto"/>
        </w:rPr>
        <w:t>10</w:t>
      </w:r>
      <w:r>
        <w:rPr>
          <w:color w:val="auto"/>
        </w:rPr>
        <w:fldChar w:fldCharType="end"/>
      </w:r>
      <w:r>
        <w:rPr>
          <w:rFonts w:hint="eastAsia"/>
          <w:color w:val="auto"/>
          <w:lang w:val="en-US" w:eastAsia="zh-CN"/>
        </w:rPr>
        <w:fldChar w:fldCharType="end"/>
      </w:r>
    </w:p>
    <w:p>
      <w:pPr>
        <w:pStyle w:val="6"/>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_Toc14189 </w:instrText>
      </w:r>
      <w:r>
        <w:rPr>
          <w:rFonts w:hint="eastAsia"/>
          <w:color w:val="auto"/>
          <w:lang w:val="en-US" w:eastAsia="zh-CN"/>
        </w:rPr>
        <w:fldChar w:fldCharType="separate"/>
      </w:r>
      <w:r>
        <w:rPr>
          <w:rFonts w:hint="eastAsia"/>
          <w:color w:val="auto"/>
          <w:lang w:val="en-US" w:eastAsia="zh-CN"/>
        </w:rPr>
        <w:t>1.3.2 技术标准、规范</w:t>
      </w:r>
      <w:r>
        <w:rPr>
          <w:color w:val="auto"/>
        </w:rPr>
        <w:tab/>
      </w:r>
      <w:r>
        <w:rPr>
          <w:color w:val="auto"/>
        </w:rPr>
        <w:fldChar w:fldCharType="begin"/>
      </w:r>
      <w:r>
        <w:rPr>
          <w:color w:val="auto"/>
        </w:rPr>
        <w:instrText xml:space="preserve"> PAGEREF _Toc14189 \h </w:instrText>
      </w:r>
      <w:r>
        <w:rPr>
          <w:color w:val="auto"/>
        </w:rPr>
        <w:fldChar w:fldCharType="separate"/>
      </w:r>
      <w:r>
        <w:rPr>
          <w:color w:val="auto"/>
        </w:rPr>
        <w:t>12</w:t>
      </w:r>
      <w:r>
        <w:rPr>
          <w:color w:val="auto"/>
        </w:rPr>
        <w:fldChar w:fldCharType="end"/>
      </w:r>
      <w:r>
        <w:rPr>
          <w:rFonts w:hint="eastAsia"/>
          <w:color w:val="auto"/>
          <w:lang w:val="en-US" w:eastAsia="zh-CN"/>
        </w:rPr>
        <w:fldChar w:fldCharType="end"/>
      </w:r>
    </w:p>
    <w:p>
      <w:pPr>
        <w:pStyle w:val="6"/>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_Toc16603 </w:instrText>
      </w:r>
      <w:r>
        <w:rPr>
          <w:rFonts w:hint="eastAsia"/>
          <w:color w:val="auto"/>
          <w:lang w:val="en-US" w:eastAsia="zh-CN"/>
        </w:rPr>
        <w:fldChar w:fldCharType="separate"/>
      </w:r>
      <w:r>
        <w:rPr>
          <w:rFonts w:hint="eastAsia"/>
          <w:color w:val="auto"/>
          <w:lang w:val="en-US" w:eastAsia="zh-CN"/>
        </w:rPr>
        <w:t>1.3.3 节能推荐目录、淘汰目录</w:t>
      </w:r>
      <w:r>
        <w:rPr>
          <w:color w:val="auto"/>
        </w:rPr>
        <w:tab/>
      </w:r>
      <w:r>
        <w:rPr>
          <w:color w:val="auto"/>
        </w:rPr>
        <w:fldChar w:fldCharType="begin"/>
      </w:r>
      <w:r>
        <w:rPr>
          <w:color w:val="auto"/>
        </w:rPr>
        <w:instrText xml:space="preserve"> PAGEREF _Toc16603 \h </w:instrText>
      </w:r>
      <w:r>
        <w:rPr>
          <w:color w:val="auto"/>
        </w:rPr>
        <w:fldChar w:fldCharType="separate"/>
      </w:r>
      <w:r>
        <w:rPr>
          <w:color w:val="auto"/>
        </w:rPr>
        <w:t>16</w:t>
      </w:r>
      <w:r>
        <w:rPr>
          <w:color w:val="auto"/>
        </w:rPr>
        <w:fldChar w:fldCharType="end"/>
      </w:r>
      <w:r>
        <w:rPr>
          <w:rFonts w:hint="eastAsia"/>
          <w:color w:val="auto"/>
          <w:lang w:val="en-US" w:eastAsia="zh-CN"/>
        </w:rPr>
        <w:fldChar w:fldCharType="end"/>
      </w:r>
    </w:p>
    <w:p>
      <w:pPr>
        <w:pStyle w:val="6"/>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_Toc13939 </w:instrText>
      </w:r>
      <w:r>
        <w:rPr>
          <w:rFonts w:hint="eastAsia"/>
          <w:color w:val="auto"/>
          <w:lang w:val="en-US" w:eastAsia="zh-CN"/>
        </w:rPr>
        <w:fldChar w:fldCharType="separate"/>
      </w:r>
      <w:r>
        <w:rPr>
          <w:rFonts w:hint="eastAsia"/>
          <w:color w:val="auto"/>
          <w:lang w:val="en-US" w:eastAsia="zh-CN"/>
        </w:rPr>
        <w:t>1.3.4 项目相关资料</w:t>
      </w:r>
      <w:r>
        <w:rPr>
          <w:color w:val="auto"/>
        </w:rPr>
        <w:tab/>
      </w:r>
      <w:r>
        <w:rPr>
          <w:color w:val="auto"/>
        </w:rPr>
        <w:fldChar w:fldCharType="begin"/>
      </w:r>
      <w:r>
        <w:rPr>
          <w:color w:val="auto"/>
        </w:rPr>
        <w:instrText xml:space="preserve"> PAGEREF _Toc13939 \h </w:instrText>
      </w:r>
      <w:r>
        <w:rPr>
          <w:color w:val="auto"/>
        </w:rPr>
        <w:fldChar w:fldCharType="separate"/>
      </w:r>
      <w:r>
        <w:rPr>
          <w:color w:val="auto"/>
        </w:rPr>
        <w:t>17</w:t>
      </w:r>
      <w:r>
        <w:rPr>
          <w:color w:val="auto"/>
        </w:rPr>
        <w:fldChar w:fldCharType="end"/>
      </w:r>
      <w:r>
        <w:rPr>
          <w:rFonts w:hint="eastAsia"/>
          <w:color w:val="auto"/>
          <w:lang w:val="en-US" w:eastAsia="zh-CN"/>
        </w:rPr>
        <w:fldChar w:fldCharType="end"/>
      </w:r>
    </w:p>
    <w:p>
      <w:pPr>
        <w:pStyle w:val="10"/>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_Toc19632 </w:instrText>
      </w:r>
      <w:r>
        <w:rPr>
          <w:rFonts w:hint="eastAsia"/>
          <w:color w:val="auto"/>
          <w:lang w:val="en-US" w:eastAsia="zh-CN"/>
        </w:rPr>
        <w:fldChar w:fldCharType="separate"/>
      </w:r>
      <w:r>
        <w:rPr>
          <w:rFonts w:hint="eastAsia"/>
          <w:color w:val="auto"/>
          <w:lang w:val="en-US" w:eastAsia="zh-CN"/>
        </w:rPr>
        <w:t>1.4 编制原则和目的</w:t>
      </w:r>
      <w:r>
        <w:rPr>
          <w:color w:val="auto"/>
        </w:rPr>
        <w:tab/>
      </w:r>
      <w:r>
        <w:rPr>
          <w:color w:val="auto"/>
        </w:rPr>
        <w:fldChar w:fldCharType="begin"/>
      </w:r>
      <w:r>
        <w:rPr>
          <w:color w:val="auto"/>
        </w:rPr>
        <w:instrText xml:space="preserve"> PAGEREF _Toc19632 \h </w:instrText>
      </w:r>
      <w:r>
        <w:rPr>
          <w:color w:val="auto"/>
        </w:rPr>
        <w:fldChar w:fldCharType="separate"/>
      </w:r>
      <w:r>
        <w:rPr>
          <w:color w:val="auto"/>
        </w:rPr>
        <w:t>18</w:t>
      </w:r>
      <w:r>
        <w:rPr>
          <w:color w:val="auto"/>
        </w:rPr>
        <w:fldChar w:fldCharType="end"/>
      </w:r>
      <w:r>
        <w:rPr>
          <w:rFonts w:hint="eastAsia"/>
          <w:color w:val="auto"/>
          <w:lang w:val="en-US" w:eastAsia="zh-CN"/>
        </w:rPr>
        <w:fldChar w:fldCharType="end"/>
      </w:r>
    </w:p>
    <w:p>
      <w:pPr>
        <w:pStyle w:val="9"/>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_Toc24280 </w:instrText>
      </w:r>
      <w:r>
        <w:rPr>
          <w:rFonts w:hint="eastAsia"/>
          <w:color w:val="auto"/>
          <w:lang w:val="en-US" w:eastAsia="zh-CN"/>
        </w:rPr>
        <w:fldChar w:fldCharType="separate"/>
      </w:r>
      <w:r>
        <w:rPr>
          <w:rFonts w:hint="eastAsia"/>
          <w:color w:val="auto"/>
          <w:lang w:val="en-US" w:eastAsia="zh-CN"/>
        </w:rPr>
        <w:t>第二章 区域产业和能源概况及发展规划</w:t>
      </w:r>
      <w:r>
        <w:rPr>
          <w:color w:val="auto"/>
        </w:rPr>
        <w:tab/>
      </w:r>
      <w:r>
        <w:rPr>
          <w:color w:val="auto"/>
        </w:rPr>
        <w:fldChar w:fldCharType="begin"/>
      </w:r>
      <w:r>
        <w:rPr>
          <w:color w:val="auto"/>
        </w:rPr>
        <w:instrText xml:space="preserve"> PAGEREF _Toc24280 \h </w:instrText>
      </w:r>
      <w:r>
        <w:rPr>
          <w:color w:val="auto"/>
        </w:rPr>
        <w:fldChar w:fldCharType="separate"/>
      </w:r>
      <w:r>
        <w:rPr>
          <w:color w:val="auto"/>
        </w:rPr>
        <w:t>20</w:t>
      </w:r>
      <w:r>
        <w:rPr>
          <w:color w:val="auto"/>
        </w:rPr>
        <w:fldChar w:fldCharType="end"/>
      </w:r>
      <w:r>
        <w:rPr>
          <w:rFonts w:hint="eastAsia"/>
          <w:color w:val="auto"/>
          <w:lang w:val="en-US" w:eastAsia="zh-CN"/>
        </w:rPr>
        <w:fldChar w:fldCharType="end"/>
      </w:r>
    </w:p>
    <w:p>
      <w:pPr>
        <w:pStyle w:val="10"/>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_Toc15350 </w:instrText>
      </w:r>
      <w:r>
        <w:rPr>
          <w:rFonts w:hint="eastAsia"/>
          <w:color w:val="auto"/>
          <w:lang w:val="en-US" w:eastAsia="zh-CN"/>
        </w:rPr>
        <w:fldChar w:fldCharType="separate"/>
      </w:r>
      <w:r>
        <w:rPr>
          <w:rFonts w:hint="eastAsia"/>
          <w:color w:val="auto"/>
          <w:lang w:val="en-US" w:eastAsia="zh-CN"/>
        </w:rPr>
        <w:t>2.1 区域产业发展现状</w:t>
      </w:r>
      <w:r>
        <w:rPr>
          <w:color w:val="auto"/>
        </w:rPr>
        <w:tab/>
      </w:r>
      <w:r>
        <w:rPr>
          <w:color w:val="auto"/>
        </w:rPr>
        <w:fldChar w:fldCharType="begin"/>
      </w:r>
      <w:r>
        <w:rPr>
          <w:color w:val="auto"/>
        </w:rPr>
        <w:instrText xml:space="preserve"> PAGEREF _Toc15350 \h </w:instrText>
      </w:r>
      <w:r>
        <w:rPr>
          <w:color w:val="auto"/>
        </w:rPr>
        <w:fldChar w:fldCharType="separate"/>
      </w:r>
      <w:r>
        <w:rPr>
          <w:color w:val="auto"/>
        </w:rPr>
        <w:t>20</w:t>
      </w:r>
      <w:r>
        <w:rPr>
          <w:color w:val="auto"/>
        </w:rPr>
        <w:fldChar w:fldCharType="end"/>
      </w:r>
      <w:r>
        <w:rPr>
          <w:rFonts w:hint="eastAsia"/>
          <w:color w:val="auto"/>
          <w:lang w:val="en-US" w:eastAsia="zh-CN"/>
        </w:rPr>
        <w:fldChar w:fldCharType="end"/>
      </w:r>
    </w:p>
    <w:p>
      <w:pPr>
        <w:pStyle w:val="6"/>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_Toc29521 </w:instrText>
      </w:r>
      <w:r>
        <w:rPr>
          <w:rFonts w:hint="eastAsia"/>
          <w:color w:val="auto"/>
          <w:lang w:val="en-US" w:eastAsia="zh-CN"/>
        </w:rPr>
        <w:fldChar w:fldCharType="separate"/>
      </w:r>
      <w:r>
        <w:rPr>
          <w:rFonts w:hint="eastAsia"/>
          <w:color w:val="auto"/>
          <w:lang w:val="en-US" w:eastAsia="zh-CN"/>
        </w:rPr>
        <w:t>2.1.1 开阳县发展现状</w:t>
      </w:r>
      <w:r>
        <w:rPr>
          <w:color w:val="auto"/>
        </w:rPr>
        <w:tab/>
      </w:r>
      <w:r>
        <w:rPr>
          <w:color w:val="auto"/>
        </w:rPr>
        <w:fldChar w:fldCharType="begin"/>
      </w:r>
      <w:r>
        <w:rPr>
          <w:color w:val="auto"/>
        </w:rPr>
        <w:instrText xml:space="preserve"> PAGEREF _Toc29521 \h </w:instrText>
      </w:r>
      <w:r>
        <w:rPr>
          <w:color w:val="auto"/>
        </w:rPr>
        <w:fldChar w:fldCharType="separate"/>
      </w:r>
      <w:r>
        <w:rPr>
          <w:color w:val="auto"/>
        </w:rPr>
        <w:t>20</w:t>
      </w:r>
      <w:r>
        <w:rPr>
          <w:color w:val="auto"/>
        </w:rPr>
        <w:fldChar w:fldCharType="end"/>
      </w:r>
      <w:r>
        <w:rPr>
          <w:rFonts w:hint="eastAsia"/>
          <w:color w:val="auto"/>
          <w:lang w:val="en-US" w:eastAsia="zh-CN"/>
        </w:rPr>
        <w:fldChar w:fldCharType="end"/>
      </w:r>
    </w:p>
    <w:p>
      <w:pPr>
        <w:pStyle w:val="6"/>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_Toc1231 </w:instrText>
      </w:r>
      <w:r>
        <w:rPr>
          <w:rFonts w:hint="eastAsia"/>
          <w:color w:val="auto"/>
          <w:lang w:val="en-US" w:eastAsia="zh-CN"/>
        </w:rPr>
        <w:fldChar w:fldCharType="separate"/>
      </w:r>
      <w:r>
        <w:rPr>
          <w:rFonts w:hint="eastAsia"/>
          <w:color w:val="auto"/>
          <w:lang w:val="en-US" w:eastAsia="zh-CN"/>
        </w:rPr>
        <w:t>2.1.2 开阳经济开发区发展现状</w:t>
      </w:r>
      <w:r>
        <w:rPr>
          <w:color w:val="auto"/>
        </w:rPr>
        <w:tab/>
      </w:r>
      <w:r>
        <w:rPr>
          <w:color w:val="auto"/>
        </w:rPr>
        <w:fldChar w:fldCharType="begin"/>
      </w:r>
      <w:r>
        <w:rPr>
          <w:color w:val="auto"/>
        </w:rPr>
        <w:instrText xml:space="preserve"> PAGEREF _Toc1231 \h </w:instrText>
      </w:r>
      <w:r>
        <w:rPr>
          <w:color w:val="auto"/>
        </w:rPr>
        <w:fldChar w:fldCharType="separate"/>
      </w:r>
      <w:r>
        <w:rPr>
          <w:color w:val="auto"/>
        </w:rPr>
        <w:t>29</w:t>
      </w:r>
      <w:r>
        <w:rPr>
          <w:color w:val="auto"/>
        </w:rPr>
        <w:fldChar w:fldCharType="end"/>
      </w:r>
      <w:r>
        <w:rPr>
          <w:rFonts w:hint="eastAsia"/>
          <w:color w:val="auto"/>
          <w:lang w:val="en-US" w:eastAsia="zh-CN"/>
        </w:rPr>
        <w:fldChar w:fldCharType="end"/>
      </w:r>
    </w:p>
    <w:p>
      <w:pPr>
        <w:pStyle w:val="10"/>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_Toc32402 </w:instrText>
      </w:r>
      <w:r>
        <w:rPr>
          <w:rFonts w:hint="eastAsia"/>
          <w:color w:val="auto"/>
          <w:lang w:val="en-US" w:eastAsia="zh-CN"/>
        </w:rPr>
        <w:fldChar w:fldCharType="separate"/>
      </w:r>
      <w:r>
        <w:rPr>
          <w:rFonts w:hint="eastAsia"/>
          <w:color w:val="auto"/>
          <w:lang w:val="en-US" w:eastAsia="zh-CN"/>
        </w:rPr>
        <w:t>2.2 开发区产业发展规划</w:t>
      </w:r>
      <w:r>
        <w:rPr>
          <w:color w:val="auto"/>
        </w:rPr>
        <w:tab/>
      </w:r>
      <w:r>
        <w:rPr>
          <w:color w:val="auto"/>
        </w:rPr>
        <w:fldChar w:fldCharType="begin"/>
      </w:r>
      <w:r>
        <w:rPr>
          <w:color w:val="auto"/>
        </w:rPr>
        <w:instrText xml:space="preserve"> PAGEREF _Toc32402 \h </w:instrText>
      </w:r>
      <w:r>
        <w:rPr>
          <w:color w:val="auto"/>
        </w:rPr>
        <w:fldChar w:fldCharType="separate"/>
      </w:r>
      <w:r>
        <w:rPr>
          <w:color w:val="auto"/>
        </w:rPr>
        <w:t>35</w:t>
      </w:r>
      <w:r>
        <w:rPr>
          <w:color w:val="auto"/>
        </w:rPr>
        <w:fldChar w:fldCharType="end"/>
      </w:r>
      <w:r>
        <w:rPr>
          <w:rFonts w:hint="eastAsia"/>
          <w:color w:val="auto"/>
          <w:lang w:val="en-US" w:eastAsia="zh-CN"/>
        </w:rPr>
        <w:fldChar w:fldCharType="end"/>
      </w:r>
    </w:p>
    <w:p>
      <w:pPr>
        <w:pStyle w:val="6"/>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_Toc18366 </w:instrText>
      </w:r>
      <w:r>
        <w:rPr>
          <w:rFonts w:hint="eastAsia"/>
          <w:color w:val="auto"/>
          <w:lang w:val="en-US" w:eastAsia="zh-CN"/>
        </w:rPr>
        <w:fldChar w:fldCharType="separate"/>
      </w:r>
      <w:r>
        <w:rPr>
          <w:rFonts w:hint="eastAsia"/>
          <w:color w:val="auto"/>
          <w:lang w:val="en-US" w:eastAsia="zh-CN"/>
        </w:rPr>
        <w:t>2.2.1 开发区产业发展建设进度及现状</w:t>
      </w:r>
      <w:r>
        <w:rPr>
          <w:color w:val="auto"/>
        </w:rPr>
        <w:tab/>
      </w:r>
      <w:r>
        <w:rPr>
          <w:color w:val="auto"/>
        </w:rPr>
        <w:fldChar w:fldCharType="begin"/>
      </w:r>
      <w:r>
        <w:rPr>
          <w:color w:val="auto"/>
        </w:rPr>
        <w:instrText xml:space="preserve"> PAGEREF _Toc18366 \h </w:instrText>
      </w:r>
      <w:r>
        <w:rPr>
          <w:color w:val="auto"/>
        </w:rPr>
        <w:fldChar w:fldCharType="separate"/>
      </w:r>
      <w:r>
        <w:rPr>
          <w:color w:val="auto"/>
        </w:rPr>
        <w:t>35</w:t>
      </w:r>
      <w:r>
        <w:rPr>
          <w:color w:val="auto"/>
        </w:rPr>
        <w:fldChar w:fldCharType="end"/>
      </w:r>
      <w:r>
        <w:rPr>
          <w:rFonts w:hint="eastAsia"/>
          <w:color w:val="auto"/>
          <w:lang w:val="en-US" w:eastAsia="zh-CN"/>
        </w:rPr>
        <w:fldChar w:fldCharType="end"/>
      </w:r>
    </w:p>
    <w:p>
      <w:pPr>
        <w:pStyle w:val="6"/>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_Toc17742 </w:instrText>
      </w:r>
      <w:r>
        <w:rPr>
          <w:rFonts w:hint="eastAsia"/>
          <w:color w:val="auto"/>
          <w:lang w:val="en-US" w:eastAsia="zh-CN"/>
        </w:rPr>
        <w:fldChar w:fldCharType="separate"/>
      </w:r>
      <w:r>
        <w:rPr>
          <w:rFonts w:hint="eastAsia"/>
          <w:color w:val="auto"/>
          <w:lang w:val="en-US" w:eastAsia="zh-CN"/>
        </w:rPr>
        <w:t>2.2.2 区域产业发展建设目标</w:t>
      </w:r>
      <w:r>
        <w:rPr>
          <w:color w:val="auto"/>
        </w:rPr>
        <w:tab/>
      </w:r>
      <w:r>
        <w:rPr>
          <w:color w:val="auto"/>
        </w:rPr>
        <w:fldChar w:fldCharType="begin"/>
      </w:r>
      <w:r>
        <w:rPr>
          <w:color w:val="auto"/>
        </w:rPr>
        <w:instrText xml:space="preserve"> PAGEREF _Toc17742 \h </w:instrText>
      </w:r>
      <w:r>
        <w:rPr>
          <w:color w:val="auto"/>
        </w:rPr>
        <w:fldChar w:fldCharType="separate"/>
      </w:r>
      <w:r>
        <w:rPr>
          <w:color w:val="auto"/>
        </w:rPr>
        <w:t>37</w:t>
      </w:r>
      <w:r>
        <w:rPr>
          <w:color w:val="auto"/>
        </w:rPr>
        <w:fldChar w:fldCharType="end"/>
      </w:r>
      <w:r>
        <w:rPr>
          <w:rFonts w:hint="eastAsia"/>
          <w:color w:val="auto"/>
          <w:lang w:val="en-US" w:eastAsia="zh-CN"/>
        </w:rPr>
        <w:fldChar w:fldCharType="end"/>
      </w:r>
    </w:p>
    <w:p>
      <w:pPr>
        <w:pStyle w:val="10"/>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_Toc3092 </w:instrText>
      </w:r>
      <w:r>
        <w:rPr>
          <w:rFonts w:hint="eastAsia"/>
          <w:color w:val="auto"/>
          <w:lang w:val="en-US" w:eastAsia="zh-CN"/>
        </w:rPr>
        <w:fldChar w:fldCharType="separate"/>
      </w:r>
      <w:r>
        <w:rPr>
          <w:rFonts w:hint="eastAsia"/>
          <w:color w:val="auto"/>
          <w:lang w:val="en-US" w:eastAsia="zh-CN"/>
        </w:rPr>
        <w:t>2.3 区域能源供应和使用情况</w:t>
      </w:r>
      <w:r>
        <w:rPr>
          <w:color w:val="auto"/>
        </w:rPr>
        <w:tab/>
      </w:r>
      <w:r>
        <w:rPr>
          <w:color w:val="auto"/>
        </w:rPr>
        <w:fldChar w:fldCharType="begin"/>
      </w:r>
      <w:r>
        <w:rPr>
          <w:color w:val="auto"/>
        </w:rPr>
        <w:instrText xml:space="preserve"> PAGEREF _Toc3092 \h </w:instrText>
      </w:r>
      <w:r>
        <w:rPr>
          <w:color w:val="auto"/>
        </w:rPr>
        <w:fldChar w:fldCharType="separate"/>
      </w:r>
      <w:r>
        <w:rPr>
          <w:color w:val="auto"/>
        </w:rPr>
        <w:t>39</w:t>
      </w:r>
      <w:r>
        <w:rPr>
          <w:color w:val="auto"/>
        </w:rPr>
        <w:fldChar w:fldCharType="end"/>
      </w:r>
      <w:r>
        <w:rPr>
          <w:rFonts w:hint="eastAsia"/>
          <w:color w:val="auto"/>
          <w:lang w:val="en-US" w:eastAsia="zh-CN"/>
        </w:rPr>
        <w:fldChar w:fldCharType="end"/>
      </w:r>
    </w:p>
    <w:p>
      <w:pPr>
        <w:pStyle w:val="6"/>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_Toc22862 </w:instrText>
      </w:r>
      <w:r>
        <w:rPr>
          <w:rFonts w:hint="eastAsia"/>
          <w:color w:val="auto"/>
          <w:lang w:val="en-US" w:eastAsia="zh-CN"/>
        </w:rPr>
        <w:fldChar w:fldCharType="separate"/>
      </w:r>
      <w:r>
        <w:rPr>
          <w:rFonts w:hint="eastAsia"/>
          <w:color w:val="auto"/>
          <w:lang w:val="en-US" w:eastAsia="zh-CN"/>
        </w:rPr>
        <w:t>2.3.1 供电情况</w:t>
      </w:r>
      <w:r>
        <w:rPr>
          <w:color w:val="auto"/>
        </w:rPr>
        <w:tab/>
      </w:r>
      <w:r>
        <w:rPr>
          <w:color w:val="auto"/>
        </w:rPr>
        <w:fldChar w:fldCharType="begin"/>
      </w:r>
      <w:r>
        <w:rPr>
          <w:color w:val="auto"/>
        </w:rPr>
        <w:instrText xml:space="preserve"> PAGEREF _Toc22862 \h </w:instrText>
      </w:r>
      <w:r>
        <w:rPr>
          <w:color w:val="auto"/>
        </w:rPr>
        <w:fldChar w:fldCharType="separate"/>
      </w:r>
      <w:r>
        <w:rPr>
          <w:color w:val="auto"/>
        </w:rPr>
        <w:t>39</w:t>
      </w:r>
      <w:r>
        <w:rPr>
          <w:color w:val="auto"/>
        </w:rPr>
        <w:fldChar w:fldCharType="end"/>
      </w:r>
      <w:r>
        <w:rPr>
          <w:rFonts w:hint="eastAsia"/>
          <w:color w:val="auto"/>
          <w:lang w:val="en-US" w:eastAsia="zh-CN"/>
        </w:rPr>
        <w:fldChar w:fldCharType="end"/>
      </w:r>
    </w:p>
    <w:p>
      <w:pPr>
        <w:pStyle w:val="6"/>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_Toc11569 </w:instrText>
      </w:r>
      <w:r>
        <w:rPr>
          <w:rFonts w:hint="eastAsia"/>
          <w:color w:val="auto"/>
          <w:lang w:val="en-US" w:eastAsia="zh-CN"/>
        </w:rPr>
        <w:fldChar w:fldCharType="separate"/>
      </w:r>
      <w:r>
        <w:rPr>
          <w:rFonts w:hint="eastAsia"/>
          <w:color w:val="auto"/>
          <w:lang w:val="en-US" w:eastAsia="zh-CN"/>
        </w:rPr>
        <w:t>2.3.2 供水情况</w:t>
      </w:r>
      <w:r>
        <w:rPr>
          <w:color w:val="auto"/>
        </w:rPr>
        <w:tab/>
      </w:r>
      <w:r>
        <w:rPr>
          <w:color w:val="auto"/>
        </w:rPr>
        <w:fldChar w:fldCharType="begin"/>
      </w:r>
      <w:r>
        <w:rPr>
          <w:color w:val="auto"/>
        </w:rPr>
        <w:instrText xml:space="preserve"> PAGEREF _Toc11569 \h </w:instrText>
      </w:r>
      <w:r>
        <w:rPr>
          <w:color w:val="auto"/>
        </w:rPr>
        <w:fldChar w:fldCharType="separate"/>
      </w:r>
      <w:r>
        <w:rPr>
          <w:color w:val="auto"/>
        </w:rPr>
        <w:t>40</w:t>
      </w:r>
      <w:r>
        <w:rPr>
          <w:color w:val="auto"/>
        </w:rPr>
        <w:fldChar w:fldCharType="end"/>
      </w:r>
      <w:r>
        <w:rPr>
          <w:rFonts w:hint="eastAsia"/>
          <w:color w:val="auto"/>
          <w:lang w:val="en-US" w:eastAsia="zh-CN"/>
        </w:rPr>
        <w:fldChar w:fldCharType="end"/>
      </w:r>
    </w:p>
    <w:p>
      <w:pPr>
        <w:pStyle w:val="6"/>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_Toc24133 </w:instrText>
      </w:r>
      <w:r>
        <w:rPr>
          <w:rFonts w:hint="eastAsia"/>
          <w:color w:val="auto"/>
          <w:lang w:val="en-US" w:eastAsia="zh-CN"/>
        </w:rPr>
        <w:fldChar w:fldCharType="separate"/>
      </w:r>
      <w:r>
        <w:rPr>
          <w:rFonts w:hint="eastAsia"/>
          <w:color w:val="auto"/>
          <w:lang w:val="en-US" w:eastAsia="zh-CN"/>
        </w:rPr>
        <w:t>2.3.3 天然气供应情况</w:t>
      </w:r>
      <w:r>
        <w:rPr>
          <w:color w:val="auto"/>
        </w:rPr>
        <w:tab/>
      </w:r>
      <w:r>
        <w:rPr>
          <w:color w:val="auto"/>
        </w:rPr>
        <w:fldChar w:fldCharType="begin"/>
      </w:r>
      <w:r>
        <w:rPr>
          <w:color w:val="auto"/>
        </w:rPr>
        <w:instrText xml:space="preserve"> PAGEREF _Toc24133 \h </w:instrText>
      </w:r>
      <w:r>
        <w:rPr>
          <w:color w:val="auto"/>
        </w:rPr>
        <w:fldChar w:fldCharType="separate"/>
      </w:r>
      <w:r>
        <w:rPr>
          <w:color w:val="auto"/>
        </w:rPr>
        <w:t>41</w:t>
      </w:r>
      <w:r>
        <w:rPr>
          <w:color w:val="auto"/>
        </w:rPr>
        <w:fldChar w:fldCharType="end"/>
      </w:r>
      <w:r>
        <w:rPr>
          <w:rFonts w:hint="eastAsia"/>
          <w:color w:val="auto"/>
          <w:lang w:val="en-US" w:eastAsia="zh-CN"/>
        </w:rPr>
        <w:fldChar w:fldCharType="end"/>
      </w:r>
    </w:p>
    <w:p>
      <w:pPr>
        <w:pStyle w:val="10"/>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_Toc26242 </w:instrText>
      </w:r>
      <w:r>
        <w:rPr>
          <w:rFonts w:hint="eastAsia"/>
          <w:color w:val="auto"/>
          <w:lang w:val="en-US" w:eastAsia="zh-CN"/>
        </w:rPr>
        <w:fldChar w:fldCharType="separate"/>
      </w:r>
      <w:r>
        <w:rPr>
          <w:rFonts w:hint="eastAsia"/>
          <w:color w:val="auto"/>
          <w:lang w:val="en-US" w:eastAsia="zh-CN"/>
        </w:rPr>
        <w:t>2.4 园区能源发展规划</w:t>
      </w:r>
      <w:r>
        <w:rPr>
          <w:color w:val="auto"/>
        </w:rPr>
        <w:tab/>
      </w:r>
      <w:r>
        <w:rPr>
          <w:color w:val="auto"/>
        </w:rPr>
        <w:fldChar w:fldCharType="begin"/>
      </w:r>
      <w:r>
        <w:rPr>
          <w:color w:val="auto"/>
        </w:rPr>
        <w:instrText xml:space="preserve"> PAGEREF _Toc26242 \h </w:instrText>
      </w:r>
      <w:r>
        <w:rPr>
          <w:color w:val="auto"/>
        </w:rPr>
        <w:fldChar w:fldCharType="separate"/>
      </w:r>
      <w:r>
        <w:rPr>
          <w:color w:val="auto"/>
        </w:rPr>
        <w:t>42</w:t>
      </w:r>
      <w:r>
        <w:rPr>
          <w:color w:val="auto"/>
        </w:rPr>
        <w:fldChar w:fldCharType="end"/>
      </w:r>
      <w:r>
        <w:rPr>
          <w:rFonts w:hint="eastAsia"/>
          <w:color w:val="auto"/>
          <w:lang w:val="en-US" w:eastAsia="zh-CN"/>
        </w:rPr>
        <w:fldChar w:fldCharType="end"/>
      </w:r>
    </w:p>
    <w:p>
      <w:pPr>
        <w:pStyle w:val="6"/>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_Toc22093 </w:instrText>
      </w:r>
      <w:r>
        <w:rPr>
          <w:rFonts w:hint="eastAsia"/>
          <w:color w:val="auto"/>
          <w:lang w:val="en-US" w:eastAsia="zh-CN"/>
        </w:rPr>
        <w:fldChar w:fldCharType="separate"/>
      </w:r>
      <w:r>
        <w:rPr>
          <w:rFonts w:hint="eastAsia"/>
          <w:color w:val="auto"/>
          <w:lang w:val="en-US" w:eastAsia="zh-CN"/>
        </w:rPr>
        <w:t>2.4.1 电力</w:t>
      </w:r>
      <w:r>
        <w:rPr>
          <w:color w:val="auto"/>
        </w:rPr>
        <w:tab/>
      </w:r>
      <w:r>
        <w:rPr>
          <w:color w:val="auto"/>
        </w:rPr>
        <w:fldChar w:fldCharType="begin"/>
      </w:r>
      <w:r>
        <w:rPr>
          <w:color w:val="auto"/>
        </w:rPr>
        <w:instrText xml:space="preserve"> PAGEREF _Toc22093 \h </w:instrText>
      </w:r>
      <w:r>
        <w:rPr>
          <w:color w:val="auto"/>
        </w:rPr>
        <w:fldChar w:fldCharType="separate"/>
      </w:r>
      <w:r>
        <w:rPr>
          <w:color w:val="auto"/>
        </w:rPr>
        <w:t>42</w:t>
      </w:r>
      <w:r>
        <w:rPr>
          <w:color w:val="auto"/>
        </w:rPr>
        <w:fldChar w:fldCharType="end"/>
      </w:r>
      <w:r>
        <w:rPr>
          <w:rFonts w:hint="eastAsia"/>
          <w:color w:val="auto"/>
          <w:lang w:val="en-US" w:eastAsia="zh-CN"/>
        </w:rPr>
        <w:fldChar w:fldCharType="end"/>
      </w:r>
    </w:p>
    <w:p>
      <w:pPr>
        <w:pStyle w:val="6"/>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_Toc7320 </w:instrText>
      </w:r>
      <w:r>
        <w:rPr>
          <w:rFonts w:hint="eastAsia"/>
          <w:color w:val="auto"/>
          <w:lang w:val="en-US" w:eastAsia="zh-CN"/>
        </w:rPr>
        <w:fldChar w:fldCharType="separate"/>
      </w:r>
      <w:r>
        <w:rPr>
          <w:rFonts w:hint="eastAsia"/>
          <w:color w:val="auto"/>
          <w:lang w:val="en-US" w:eastAsia="zh-CN"/>
        </w:rPr>
        <w:t>2.4.2 天然气</w:t>
      </w:r>
      <w:r>
        <w:rPr>
          <w:color w:val="auto"/>
        </w:rPr>
        <w:tab/>
      </w:r>
      <w:r>
        <w:rPr>
          <w:color w:val="auto"/>
        </w:rPr>
        <w:fldChar w:fldCharType="begin"/>
      </w:r>
      <w:r>
        <w:rPr>
          <w:color w:val="auto"/>
        </w:rPr>
        <w:instrText xml:space="preserve"> PAGEREF _Toc7320 \h </w:instrText>
      </w:r>
      <w:r>
        <w:rPr>
          <w:color w:val="auto"/>
        </w:rPr>
        <w:fldChar w:fldCharType="separate"/>
      </w:r>
      <w:r>
        <w:rPr>
          <w:color w:val="auto"/>
        </w:rPr>
        <w:t>42</w:t>
      </w:r>
      <w:r>
        <w:rPr>
          <w:color w:val="auto"/>
        </w:rPr>
        <w:fldChar w:fldCharType="end"/>
      </w:r>
      <w:r>
        <w:rPr>
          <w:rFonts w:hint="eastAsia"/>
          <w:color w:val="auto"/>
          <w:lang w:val="en-US" w:eastAsia="zh-CN"/>
        </w:rPr>
        <w:fldChar w:fldCharType="end"/>
      </w:r>
    </w:p>
    <w:p>
      <w:pPr>
        <w:pStyle w:val="6"/>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_Toc15145 </w:instrText>
      </w:r>
      <w:r>
        <w:rPr>
          <w:rFonts w:hint="eastAsia"/>
          <w:color w:val="auto"/>
          <w:lang w:val="en-US" w:eastAsia="zh-CN"/>
        </w:rPr>
        <w:fldChar w:fldCharType="separate"/>
      </w:r>
      <w:r>
        <w:rPr>
          <w:rFonts w:hint="eastAsia"/>
          <w:color w:val="auto"/>
          <w:lang w:val="en-US" w:eastAsia="zh-CN"/>
        </w:rPr>
        <w:t>2.4.3 新水</w:t>
      </w:r>
      <w:r>
        <w:rPr>
          <w:color w:val="auto"/>
        </w:rPr>
        <w:tab/>
      </w:r>
      <w:r>
        <w:rPr>
          <w:color w:val="auto"/>
        </w:rPr>
        <w:fldChar w:fldCharType="begin"/>
      </w:r>
      <w:r>
        <w:rPr>
          <w:color w:val="auto"/>
        </w:rPr>
        <w:instrText xml:space="preserve"> PAGEREF _Toc15145 \h </w:instrText>
      </w:r>
      <w:r>
        <w:rPr>
          <w:color w:val="auto"/>
        </w:rPr>
        <w:fldChar w:fldCharType="separate"/>
      </w:r>
      <w:r>
        <w:rPr>
          <w:color w:val="auto"/>
        </w:rPr>
        <w:t>43</w:t>
      </w:r>
      <w:r>
        <w:rPr>
          <w:color w:val="auto"/>
        </w:rPr>
        <w:fldChar w:fldCharType="end"/>
      </w:r>
      <w:r>
        <w:rPr>
          <w:rFonts w:hint="eastAsia"/>
          <w:color w:val="auto"/>
          <w:lang w:val="en-US" w:eastAsia="zh-CN"/>
        </w:rPr>
        <w:fldChar w:fldCharType="end"/>
      </w:r>
    </w:p>
    <w:p>
      <w:pPr>
        <w:pStyle w:val="9"/>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_Toc13261 </w:instrText>
      </w:r>
      <w:r>
        <w:rPr>
          <w:rFonts w:hint="eastAsia"/>
          <w:color w:val="auto"/>
          <w:lang w:val="en-US" w:eastAsia="zh-CN"/>
        </w:rPr>
        <w:fldChar w:fldCharType="separate"/>
      </w:r>
      <w:r>
        <w:rPr>
          <w:rFonts w:hint="eastAsia"/>
          <w:color w:val="auto"/>
          <w:lang w:val="en-US" w:eastAsia="zh-CN"/>
        </w:rPr>
        <w:t>第三章 区域用能预测及节能“双控”指标确定</w:t>
      </w:r>
      <w:r>
        <w:rPr>
          <w:color w:val="auto"/>
        </w:rPr>
        <w:tab/>
      </w:r>
      <w:r>
        <w:rPr>
          <w:color w:val="auto"/>
        </w:rPr>
        <w:fldChar w:fldCharType="begin"/>
      </w:r>
      <w:r>
        <w:rPr>
          <w:color w:val="auto"/>
        </w:rPr>
        <w:instrText xml:space="preserve"> PAGEREF _Toc13261 \h </w:instrText>
      </w:r>
      <w:r>
        <w:rPr>
          <w:color w:val="auto"/>
        </w:rPr>
        <w:fldChar w:fldCharType="separate"/>
      </w:r>
      <w:r>
        <w:rPr>
          <w:color w:val="auto"/>
        </w:rPr>
        <w:t>44</w:t>
      </w:r>
      <w:r>
        <w:rPr>
          <w:color w:val="auto"/>
        </w:rPr>
        <w:fldChar w:fldCharType="end"/>
      </w:r>
      <w:r>
        <w:rPr>
          <w:rFonts w:hint="eastAsia"/>
          <w:color w:val="auto"/>
          <w:lang w:val="en-US" w:eastAsia="zh-CN"/>
        </w:rPr>
        <w:fldChar w:fldCharType="end"/>
      </w:r>
    </w:p>
    <w:p>
      <w:pPr>
        <w:pStyle w:val="10"/>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_Toc4806 </w:instrText>
      </w:r>
      <w:r>
        <w:rPr>
          <w:rFonts w:hint="eastAsia"/>
          <w:color w:val="auto"/>
          <w:lang w:val="en-US" w:eastAsia="zh-CN"/>
        </w:rPr>
        <w:fldChar w:fldCharType="separate"/>
      </w:r>
      <w:r>
        <w:rPr>
          <w:rFonts w:hint="eastAsia"/>
          <w:color w:val="auto"/>
          <w:lang w:val="en-US" w:eastAsia="zh-CN"/>
        </w:rPr>
        <w:t>3.1 区域用能预测</w:t>
      </w:r>
      <w:r>
        <w:rPr>
          <w:color w:val="auto"/>
        </w:rPr>
        <w:tab/>
      </w:r>
      <w:r>
        <w:rPr>
          <w:color w:val="auto"/>
        </w:rPr>
        <w:fldChar w:fldCharType="begin"/>
      </w:r>
      <w:r>
        <w:rPr>
          <w:color w:val="auto"/>
        </w:rPr>
        <w:instrText xml:space="preserve"> PAGEREF _Toc4806 \h </w:instrText>
      </w:r>
      <w:r>
        <w:rPr>
          <w:color w:val="auto"/>
        </w:rPr>
        <w:fldChar w:fldCharType="separate"/>
      </w:r>
      <w:r>
        <w:rPr>
          <w:color w:val="auto"/>
        </w:rPr>
        <w:t>44</w:t>
      </w:r>
      <w:r>
        <w:rPr>
          <w:color w:val="auto"/>
        </w:rPr>
        <w:fldChar w:fldCharType="end"/>
      </w:r>
      <w:r>
        <w:rPr>
          <w:rFonts w:hint="eastAsia"/>
          <w:color w:val="auto"/>
          <w:lang w:val="en-US" w:eastAsia="zh-CN"/>
        </w:rPr>
        <w:fldChar w:fldCharType="end"/>
      </w:r>
    </w:p>
    <w:p>
      <w:pPr>
        <w:pStyle w:val="6"/>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_Toc2396 </w:instrText>
      </w:r>
      <w:r>
        <w:rPr>
          <w:rFonts w:hint="eastAsia"/>
          <w:color w:val="auto"/>
          <w:lang w:val="en-US" w:eastAsia="zh-CN"/>
        </w:rPr>
        <w:fldChar w:fldCharType="separate"/>
      </w:r>
      <w:r>
        <w:rPr>
          <w:rFonts w:hint="eastAsia"/>
          <w:color w:val="auto"/>
          <w:lang w:val="en-US" w:eastAsia="zh-CN"/>
        </w:rPr>
        <w:t>3.1.1 现有规上企业情况</w:t>
      </w:r>
      <w:r>
        <w:rPr>
          <w:color w:val="auto"/>
        </w:rPr>
        <w:tab/>
      </w:r>
      <w:r>
        <w:rPr>
          <w:color w:val="auto"/>
        </w:rPr>
        <w:fldChar w:fldCharType="begin"/>
      </w:r>
      <w:r>
        <w:rPr>
          <w:color w:val="auto"/>
        </w:rPr>
        <w:instrText xml:space="preserve"> PAGEREF _Toc2396 \h </w:instrText>
      </w:r>
      <w:r>
        <w:rPr>
          <w:color w:val="auto"/>
        </w:rPr>
        <w:fldChar w:fldCharType="separate"/>
      </w:r>
      <w:r>
        <w:rPr>
          <w:color w:val="auto"/>
        </w:rPr>
        <w:t>44</w:t>
      </w:r>
      <w:r>
        <w:rPr>
          <w:color w:val="auto"/>
        </w:rPr>
        <w:fldChar w:fldCharType="end"/>
      </w:r>
      <w:r>
        <w:rPr>
          <w:rFonts w:hint="eastAsia"/>
          <w:color w:val="auto"/>
          <w:lang w:val="en-US" w:eastAsia="zh-CN"/>
        </w:rPr>
        <w:fldChar w:fldCharType="end"/>
      </w:r>
    </w:p>
    <w:p>
      <w:pPr>
        <w:pStyle w:val="6"/>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_Toc24718 </w:instrText>
      </w:r>
      <w:r>
        <w:rPr>
          <w:rFonts w:hint="eastAsia"/>
          <w:color w:val="auto"/>
          <w:lang w:val="en-US" w:eastAsia="zh-CN"/>
        </w:rPr>
        <w:fldChar w:fldCharType="separate"/>
      </w:r>
      <w:r>
        <w:rPr>
          <w:rFonts w:hint="eastAsia"/>
          <w:color w:val="auto"/>
          <w:lang w:val="en-US" w:eastAsia="zh-CN"/>
        </w:rPr>
        <w:t>3.1.2 拟入驻项目情况</w:t>
      </w:r>
      <w:r>
        <w:rPr>
          <w:color w:val="auto"/>
        </w:rPr>
        <w:tab/>
      </w:r>
      <w:r>
        <w:rPr>
          <w:color w:val="auto"/>
        </w:rPr>
        <w:fldChar w:fldCharType="begin"/>
      </w:r>
      <w:r>
        <w:rPr>
          <w:color w:val="auto"/>
        </w:rPr>
        <w:instrText xml:space="preserve"> PAGEREF _Toc24718 \h </w:instrText>
      </w:r>
      <w:r>
        <w:rPr>
          <w:color w:val="auto"/>
        </w:rPr>
        <w:fldChar w:fldCharType="separate"/>
      </w:r>
      <w:r>
        <w:rPr>
          <w:color w:val="auto"/>
        </w:rPr>
        <w:t>53</w:t>
      </w:r>
      <w:r>
        <w:rPr>
          <w:color w:val="auto"/>
        </w:rPr>
        <w:fldChar w:fldCharType="end"/>
      </w:r>
      <w:r>
        <w:rPr>
          <w:rFonts w:hint="eastAsia"/>
          <w:color w:val="auto"/>
          <w:lang w:val="en-US" w:eastAsia="zh-CN"/>
        </w:rPr>
        <w:fldChar w:fldCharType="end"/>
      </w:r>
    </w:p>
    <w:p>
      <w:pPr>
        <w:pStyle w:val="6"/>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_Toc2507 </w:instrText>
      </w:r>
      <w:r>
        <w:rPr>
          <w:rFonts w:hint="eastAsia"/>
          <w:color w:val="auto"/>
          <w:lang w:val="en-US" w:eastAsia="zh-CN"/>
        </w:rPr>
        <w:fldChar w:fldCharType="separate"/>
      </w:r>
      <w:r>
        <w:rPr>
          <w:rFonts w:hint="eastAsia"/>
          <w:color w:val="auto"/>
          <w:lang w:val="en-US" w:eastAsia="zh-CN"/>
        </w:rPr>
        <w:t>3.1.3 区域能耗总量预测方法及模型</w:t>
      </w:r>
      <w:r>
        <w:rPr>
          <w:color w:val="auto"/>
        </w:rPr>
        <w:tab/>
      </w:r>
      <w:r>
        <w:rPr>
          <w:color w:val="auto"/>
        </w:rPr>
        <w:fldChar w:fldCharType="begin"/>
      </w:r>
      <w:r>
        <w:rPr>
          <w:color w:val="auto"/>
        </w:rPr>
        <w:instrText xml:space="preserve"> PAGEREF _Toc2507 \h </w:instrText>
      </w:r>
      <w:r>
        <w:rPr>
          <w:color w:val="auto"/>
        </w:rPr>
        <w:fldChar w:fldCharType="separate"/>
      </w:r>
      <w:r>
        <w:rPr>
          <w:color w:val="auto"/>
        </w:rPr>
        <w:t>65</w:t>
      </w:r>
      <w:r>
        <w:rPr>
          <w:color w:val="auto"/>
        </w:rPr>
        <w:fldChar w:fldCharType="end"/>
      </w:r>
      <w:r>
        <w:rPr>
          <w:rFonts w:hint="eastAsia"/>
          <w:color w:val="auto"/>
          <w:lang w:val="en-US" w:eastAsia="zh-CN"/>
        </w:rPr>
        <w:fldChar w:fldCharType="end"/>
      </w:r>
    </w:p>
    <w:p>
      <w:pPr>
        <w:pStyle w:val="6"/>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_Toc8842 </w:instrText>
      </w:r>
      <w:r>
        <w:rPr>
          <w:rFonts w:hint="eastAsia"/>
          <w:color w:val="auto"/>
          <w:lang w:val="en-US" w:eastAsia="zh-CN"/>
        </w:rPr>
        <w:fldChar w:fldCharType="separate"/>
      </w:r>
      <w:r>
        <w:rPr>
          <w:rFonts w:hint="eastAsia"/>
          <w:color w:val="auto"/>
          <w:lang w:val="en-US" w:eastAsia="zh-CN"/>
        </w:rPr>
        <w:t>3.1.4 区域产业产值目标</w:t>
      </w:r>
      <w:r>
        <w:rPr>
          <w:color w:val="auto"/>
        </w:rPr>
        <w:tab/>
      </w:r>
      <w:r>
        <w:rPr>
          <w:color w:val="auto"/>
        </w:rPr>
        <w:fldChar w:fldCharType="begin"/>
      </w:r>
      <w:r>
        <w:rPr>
          <w:color w:val="auto"/>
        </w:rPr>
        <w:instrText xml:space="preserve"> PAGEREF _Toc8842 \h </w:instrText>
      </w:r>
      <w:r>
        <w:rPr>
          <w:color w:val="auto"/>
        </w:rPr>
        <w:fldChar w:fldCharType="separate"/>
      </w:r>
      <w:r>
        <w:rPr>
          <w:color w:val="auto"/>
        </w:rPr>
        <w:t>69</w:t>
      </w:r>
      <w:r>
        <w:rPr>
          <w:color w:val="auto"/>
        </w:rPr>
        <w:fldChar w:fldCharType="end"/>
      </w:r>
      <w:r>
        <w:rPr>
          <w:rFonts w:hint="eastAsia"/>
          <w:color w:val="auto"/>
          <w:lang w:val="en-US" w:eastAsia="zh-CN"/>
        </w:rPr>
        <w:fldChar w:fldCharType="end"/>
      </w:r>
    </w:p>
    <w:p>
      <w:pPr>
        <w:pStyle w:val="6"/>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_Toc30747 </w:instrText>
      </w:r>
      <w:r>
        <w:rPr>
          <w:rFonts w:hint="eastAsia"/>
          <w:color w:val="auto"/>
          <w:lang w:val="en-US" w:eastAsia="zh-CN"/>
        </w:rPr>
        <w:fldChar w:fldCharType="separate"/>
      </w:r>
      <w:r>
        <w:rPr>
          <w:rFonts w:hint="eastAsia"/>
          <w:color w:val="auto"/>
          <w:lang w:val="en-US" w:eastAsia="zh-CN"/>
        </w:rPr>
        <w:t>3.1.5 各产业总产值及工业增加值构成测算</w:t>
      </w:r>
      <w:r>
        <w:rPr>
          <w:color w:val="auto"/>
        </w:rPr>
        <w:tab/>
      </w:r>
      <w:r>
        <w:rPr>
          <w:color w:val="auto"/>
        </w:rPr>
        <w:fldChar w:fldCharType="begin"/>
      </w:r>
      <w:r>
        <w:rPr>
          <w:color w:val="auto"/>
        </w:rPr>
        <w:instrText xml:space="preserve"> PAGEREF _Toc30747 \h </w:instrText>
      </w:r>
      <w:r>
        <w:rPr>
          <w:color w:val="auto"/>
        </w:rPr>
        <w:fldChar w:fldCharType="separate"/>
      </w:r>
      <w:r>
        <w:rPr>
          <w:color w:val="auto"/>
        </w:rPr>
        <w:t>70</w:t>
      </w:r>
      <w:r>
        <w:rPr>
          <w:color w:val="auto"/>
        </w:rPr>
        <w:fldChar w:fldCharType="end"/>
      </w:r>
      <w:r>
        <w:rPr>
          <w:rFonts w:hint="eastAsia"/>
          <w:color w:val="auto"/>
          <w:lang w:val="en-US" w:eastAsia="zh-CN"/>
        </w:rPr>
        <w:fldChar w:fldCharType="end"/>
      </w:r>
    </w:p>
    <w:p>
      <w:pPr>
        <w:pStyle w:val="10"/>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_Toc16491 </w:instrText>
      </w:r>
      <w:r>
        <w:rPr>
          <w:rFonts w:hint="eastAsia"/>
          <w:color w:val="auto"/>
          <w:lang w:val="en-US" w:eastAsia="zh-CN"/>
        </w:rPr>
        <w:fldChar w:fldCharType="separate"/>
      </w:r>
      <w:r>
        <w:rPr>
          <w:rFonts w:hint="eastAsia"/>
          <w:color w:val="auto"/>
          <w:lang w:val="en-US" w:eastAsia="zh-CN"/>
        </w:rPr>
        <w:t>3.2 区域能效水平确定</w:t>
      </w:r>
      <w:r>
        <w:rPr>
          <w:color w:val="auto"/>
        </w:rPr>
        <w:tab/>
      </w:r>
      <w:r>
        <w:rPr>
          <w:color w:val="auto"/>
        </w:rPr>
        <w:fldChar w:fldCharType="begin"/>
      </w:r>
      <w:r>
        <w:rPr>
          <w:color w:val="auto"/>
        </w:rPr>
        <w:instrText xml:space="preserve"> PAGEREF _Toc16491 \h </w:instrText>
      </w:r>
      <w:r>
        <w:rPr>
          <w:color w:val="auto"/>
        </w:rPr>
        <w:fldChar w:fldCharType="separate"/>
      </w:r>
      <w:r>
        <w:rPr>
          <w:color w:val="auto"/>
        </w:rPr>
        <w:t>74</w:t>
      </w:r>
      <w:r>
        <w:rPr>
          <w:color w:val="auto"/>
        </w:rPr>
        <w:fldChar w:fldCharType="end"/>
      </w:r>
      <w:r>
        <w:rPr>
          <w:rFonts w:hint="eastAsia"/>
          <w:color w:val="auto"/>
          <w:lang w:val="en-US" w:eastAsia="zh-CN"/>
        </w:rPr>
        <w:fldChar w:fldCharType="end"/>
      </w:r>
    </w:p>
    <w:p>
      <w:pPr>
        <w:pStyle w:val="10"/>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_Toc21285 </w:instrText>
      </w:r>
      <w:r>
        <w:rPr>
          <w:rFonts w:hint="eastAsia"/>
          <w:color w:val="auto"/>
          <w:lang w:val="en-US" w:eastAsia="zh-CN"/>
        </w:rPr>
        <w:fldChar w:fldCharType="separate"/>
      </w:r>
      <w:r>
        <w:rPr>
          <w:rFonts w:hint="eastAsia"/>
          <w:color w:val="auto"/>
          <w:lang w:val="en-US" w:eastAsia="zh-CN"/>
        </w:rPr>
        <w:t>3.3 区域能耗估算</w:t>
      </w:r>
      <w:r>
        <w:rPr>
          <w:color w:val="auto"/>
        </w:rPr>
        <w:tab/>
      </w:r>
      <w:r>
        <w:rPr>
          <w:color w:val="auto"/>
        </w:rPr>
        <w:fldChar w:fldCharType="begin"/>
      </w:r>
      <w:r>
        <w:rPr>
          <w:color w:val="auto"/>
        </w:rPr>
        <w:instrText xml:space="preserve"> PAGEREF _Toc21285 \h </w:instrText>
      </w:r>
      <w:r>
        <w:rPr>
          <w:color w:val="auto"/>
        </w:rPr>
        <w:fldChar w:fldCharType="separate"/>
      </w:r>
      <w:r>
        <w:rPr>
          <w:color w:val="auto"/>
        </w:rPr>
        <w:t>75</w:t>
      </w:r>
      <w:r>
        <w:rPr>
          <w:color w:val="auto"/>
        </w:rPr>
        <w:fldChar w:fldCharType="end"/>
      </w:r>
      <w:r>
        <w:rPr>
          <w:rFonts w:hint="eastAsia"/>
          <w:color w:val="auto"/>
          <w:lang w:val="en-US" w:eastAsia="zh-CN"/>
        </w:rPr>
        <w:fldChar w:fldCharType="end"/>
      </w:r>
    </w:p>
    <w:p>
      <w:pPr>
        <w:pStyle w:val="10"/>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_Toc17384 </w:instrText>
      </w:r>
      <w:r>
        <w:rPr>
          <w:rFonts w:hint="eastAsia"/>
          <w:color w:val="auto"/>
          <w:lang w:val="en-US" w:eastAsia="zh-CN"/>
        </w:rPr>
        <w:fldChar w:fldCharType="separate"/>
      </w:r>
      <w:r>
        <w:rPr>
          <w:rFonts w:hint="eastAsia"/>
          <w:color w:val="auto"/>
          <w:lang w:val="en-US" w:eastAsia="zh-CN"/>
        </w:rPr>
        <w:t>3.4 区域节能“双控”指标确定</w:t>
      </w:r>
      <w:r>
        <w:rPr>
          <w:color w:val="auto"/>
        </w:rPr>
        <w:tab/>
      </w:r>
      <w:r>
        <w:rPr>
          <w:color w:val="auto"/>
        </w:rPr>
        <w:fldChar w:fldCharType="begin"/>
      </w:r>
      <w:r>
        <w:rPr>
          <w:color w:val="auto"/>
        </w:rPr>
        <w:instrText xml:space="preserve"> PAGEREF _Toc17384 \h </w:instrText>
      </w:r>
      <w:r>
        <w:rPr>
          <w:color w:val="auto"/>
        </w:rPr>
        <w:fldChar w:fldCharType="separate"/>
      </w:r>
      <w:r>
        <w:rPr>
          <w:color w:val="auto"/>
        </w:rPr>
        <w:t>79</w:t>
      </w:r>
      <w:r>
        <w:rPr>
          <w:color w:val="auto"/>
        </w:rPr>
        <w:fldChar w:fldCharType="end"/>
      </w:r>
      <w:r>
        <w:rPr>
          <w:rFonts w:hint="eastAsia"/>
          <w:color w:val="auto"/>
          <w:lang w:val="en-US" w:eastAsia="zh-CN"/>
        </w:rPr>
        <w:fldChar w:fldCharType="end"/>
      </w:r>
    </w:p>
    <w:p>
      <w:pPr>
        <w:pStyle w:val="10"/>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_Toc29435 </w:instrText>
      </w:r>
      <w:r>
        <w:rPr>
          <w:rFonts w:hint="eastAsia"/>
          <w:color w:val="auto"/>
          <w:lang w:val="en-US" w:eastAsia="zh-CN"/>
        </w:rPr>
        <w:fldChar w:fldCharType="separate"/>
      </w:r>
      <w:r>
        <w:rPr>
          <w:rFonts w:hint="eastAsia"/>
          <w:color w:val="auto"/>
          <w:lang w:val="en-US" w:eastAsia="zh-CN"/>
        </w:rPr>
        <w:t>3.5 区域能源消费影响分析评价</w:t>
      </w:r>
      <w:r>
        <w:rPr>
          <w:color w:val="auto"/>
        </w:rPr>
        <w:tab/>
      </w:r>
      <w:r>
        <w:rPr>
          <w:color w:val="auto"/>
        </w:rPr>
        <w:fldChar w:fldCharType="begin"/>
      </w:r>
      <w:r>
        <w:rPr>
          <w:color w:val="auto"/>
        </w:rPr>
        <w:instrText xml:space="preserve"> PAGEREF _Toc29435 \h </w:instrText>
      </w:r>
      <w:r>
        <w:rPr>
          <w:color w:val="auto"/>
        </w:rPr>
        <w:fldChar w:fldCharType="separate"/>
      </w:r>
      <w:r>
        <w:rPr>
          <w:color w:val="auto"/>
        </w:rPr>
        <w:t>82</w:t>
      </w:r>
      <w:r>
        <w:rPr>
          <w:color w:val="auto"/>
        </w:rPr>
        <w:fldChar w:fldCharType="end"/>
      </w:r>
      <w:r>
        <w:rPr>
          <w:rFonts w:hint="eastAsia"/>
          <w:color w:val="auto"/>
          <w:lang w:val="en-US" w:eastAsia="zh-CN"/>
        </w:rPr>
        <w:fldChar w:fldCharType="end"/>
      </w:r>
    </w:p>
    <w:p>
      <w:pPr>
        <w:pStyle w:val="6"/>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_Toc11550 </w:instrText>
      </w:r>
      <w:r>
        <w:rPr>
          <w:rFonts w:hint="eastAsia"/>
          <w:color w:val="auto"/>
          <w:lang w:val="en-US" w:eastAsia="zh-CN"/>
        </w:rPr>
        <w:fldChar w:fldCharType="separate"/>
      </w:r>
      <w:r>
        <w:rPr>
          <w:rFonts w:hint="eastAsia"/>
          <w:color w:val="auto"/>
          <w:lang w:val="en-US" w:eastAsia="zh-CN"/>
        </w:rPr>
        <w:t>3.5.1 区域能源消费对开阳县完成能耗强度下降目标的影响</w:t>
      </w:r>
      <w:r>
        <w:rPr>
          <w:color w:val="auto"/>
        </w:rPr>
        <w:tab/>
      </w:r>
      <w:r>
        <w:rPr>
          <w:color w:val="auto"/>
        </w:rPr>
        <w:fldChar w:fldCharType="begin"/>
      </w:r>
      <w:r>
        <w:rPr>
          <w:color w:val="auto"/>
        </w:rPr>
        <w:instrText xml:space="preserve"> PAGEREF _Toc11550 \h </w:instrText>
      </w:r>
      <w:r>
        <w:rPr>
          <w:color w:val="auto"/>
        </w:rPr>
        <w:fldChar w:fldCharType="separate"/>
      </w:r>
      <w:r>
        <w:rPr>
          <w:color w:val="auto"/>
        </w:rPr>
        <w:t>82</w:t>
      </w:r>
      <w:r>
        <w:rPr>
          <w:color w:val="auto"/>
        </w:rPr>
        <w:fldChar w:fldCharType="end"/>
      </w:r>
      <w:r>
        <w:rPr>
          <w:rFonts w:hint="eastAsia"/>
          <w:color w:val="auto"/>
          <w:lang w:val="en-US" w:eastAsia="zh-CN"/>
        </w:rPr>
        <w:fldChar w:fldCharType="end"/>
      </w:r>
    </w:p>
    <w:p>
      <w:pPr>
        <w:pStyle w:val="6"/>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_Toc1618 </w:instrText>
      </w:r>
      <w:r>
        <w:rPr>
          <w:rFonts w:hint="eastAsia"/>
          <w:color w:val="auto"/>
          <w:lang w:val="en-US" w:eastAsia="zh-CN"/>
        </w:rPr>
        <w:fldChar w:fldCharType="separate"/>
      </w:r>
      <w:r>
        <w:rPr>
          <w:rFonts w:hint="eastAsia"/>
          <w:color w:val="auto"/>
          <w:lang w:val="en-US" w:eastAsia="zh-CN"/>
        </w:rPr>
        <w:t>3.5.2 区域能源消费对贵阳市完成能耗强度下降目标的影响</w:t>
      </w:r>
      <w:r>
        <w:rPr>
          <w:color w:val="auto"/>
        </w:rPr>
        <w:tab/>
      </w:r>
      <w:r>
        <w:rPr>
          <w:color w:val="auto"/>
        </w:rPr>
        <w:fldChar w:fldCharType="begin"/>
      </w:r>
      <w:r>
        <w:rPr>
          <w:color w:val="auto"/>
        </w:rPr>
        <w:instrText xml:space="preserve"> PAGEREF _Toc1618 \h </w:instrText>
      </w:r>
      <w:r>
        <w:rPr>
          <w:color w:val="auto"/>
        </w:rPr>
        <w:fldChar w:fldCharType="separate"/>
      </w:r>
      <w:r>
        <w:rPr>
          <w:color w:val="auto"/>
        </w:rPr>
        <w:t>83</w:t>
      </w:r>
      <w:r>
        <w:rPr>
          <w:color w:val="auto"/>
        </w:rPr>
        <w:fldChar w:fldCharType="end"/>
      </w:r>
      <w:r>
        <w:rPr>
          <w:rFonts w:hint="eastAsia"/>
          <w:color w:val="auto"/>
          <w:lang w:val="en-US" w:eastAsia="zh-CN"/>
        </w:rPr>
        <w:fldChar w:fldCharType="end"/>
      </w:r>
    </w:p>
    <w:p>
      <w:pPr>
        <w:pStyle w:val="9"/>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_Toc2766 </w:instrText>
      </w:r>
      <w:r>
        <w:rPr>
          <w:rFonts w:hint="eastAsia"/>
          <w:color w:val="auto"/>
          <w:lang w:val="en-US" w:eastAsia="zh-CN"/>
        </w:rPr>
        <w:fldChar w:fldCharType="separate"/>
      </w:r>
      <w:r>
        <w:rPr>
          <w:rFonts w:hint="eastAsia"/>
          <w:color w:val="auto"/>
          <w:lang w:val="en-US" w:eastAsia="zh-CN"/>
        </w:rPr>
        <w:t>第四章 区域能效指标</w:t>
      </w:r>
      <w:r>
        <w:rPr>
          <w:color w:val="auto"/>
        </w:rPr>
        <w:tab/>
      </w:r>
      <w:r>
        <w:rPr>
          <w:color w:val="auto"/>
        </w:rPr>
        <w:fldChar w:fldCharType="begin"/>
      </w:r>
      <w:r>
        <w:rPr>
          <w:color w:val="auto"/>
        </w:rPr>
        <w:instrText xml:space="preserve"> PAGEREF _Toc2766 \h </w:instrText>
      </w:r>
      <w:r>
        <w:rPr>
          <w:color w:val="auto"/>
        </w:rPr>
        <w:fldChar w:fldCharType="separate"/>
      </w:r>
      <w:r>
        <w:rPr>
          <w:color w:val="auto"/>
        </w:rPr>
        <w:t>86</w:t>
      </w:r>
      <w:r>
        <w:rPr>
          <w:color w:val="auto"/>
        </w:rPr>
        <w:fldChar w:fldCharType="end"/>
      </w:r>
      <w:r>
        <w:rPr>
          <w:rFonts w:hint="eastAsia"/>
          <w:color w:val="auto"/>
          <w:lang w:val="en-US" w:eastAsia="zh-CN"/>
        </w:rPr>
        <w:fldChar w:fldCharType="end"/>
      </w:r>
    </w:p>
    <w:p>
      <w:pPr>
        <w:pStyle w:val="10"/>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_Toc6206 </w:instrText>
      </w:r>
      <w:r>
        <w:rPr>
          <w:rFonts w:hint="eastAsia"/>
          <w:color w:val="auto"/>
          <w:lang w:val="en-US" w:eastAsia="zh-CN"/>
        </w:rPr>
        <w:fldChar w:fldCharType="separate"/>
      </w:r>
      <w:r>
        <w:rPr>
          <w:rFonts w:hint="eastAsia"/>
          <w:color w:val="auto"/>
          <w:lang w:val="en-US" w:eastAsia="zh-CN"/>
        </w:rPr>
        <w:t>4.1 区域主要耗能企业用能分析</w:t>
      </w:r>
      <w:r>
        <w:rPr>
          <w:color w:val="auto"/>
        </w:rPr>
        <w:tab/>
      </w:r>
      <w:r>
        <w:rPr>
          <w:color w:val="auto"/>
        </w:rPr>
        <w:fldChar w:fldCharType="begin"/>
      </w:r>
      <w:r>
        <w:rPr>
          <w:color w:val="auto"/>
        </w:rPr>
        <w:instrText xml:space="preserve"> PAGEREF _Toc6206 \h </w:instrText>
      </w:r>
      <w:r>
        <w:rPr>
          <w:color w:val="auto"/>
        </w:rPr>
        <w:fldChar w:fldCharType="separate"/>
      </w:r>
      <w:r>
        <w:rPr>
          <w:color w:val="auto"/>
        </w:rPr>
        <w:t>86</w:t>
      </w:r>
      <w:r>
        <w:rPr>
          <w:color w:val="auto"/>
        </w:rPr>
        <w:fldChar w:fldCharType="end"/>
      </w:r>
      <w:r>
        <w:rPr>
          <w:rFonts w:hint="eastAsia"/>
          <w:color w:val="auto"/>
          <w:lang w:val="en-US" w:eastAsia="zh-CN"/>
        </w:rPr>
        <w:fldChar w:fldCharType="end"/>
      </w:r>
    </w:p>
    <w:p>
      <w:pPr>
        <w:pStyle w:val="6"/>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_Toc32176 </w:instrText>
      </w:r>
      <w:r>
        <w:rPr>
          <w:rFonts w:hint="eastAsia"/>
          <w:color w:val="auto"/>
          <w:lang w:val="en-US" w:eastAsia="zh-CN"/>
        </w:rPr>
        <w:fldChar w:fldCharType="separate"/>
      </w:r>
      <w:r>
        <w:rPr>
          <w:rFonts w:hint="eastAsia"/>
          <w:color w:val="auto"/>
          <w:lang w:val="en-US" w:eastAsia="zh-CN"/>
        </w:rPr>
        <w:t>4.1.1区域耗能企业行业情况</w:t>
      </w:r>
      <w:r>
        <w:rPr>
          <w:color w:val="auto"/>
        </w:rPr>
        <w:tab/>
      </w:r>
      <w:r>
        <w:rPr>
          <w:color w:val="auto"/>
        </w:rPr>
        <w:fldChar w:fldCharType="begin"/>
      </w:r>
      <w:r>
        <w:rPr>
          <w:color w:val="auto"/>
        </w:rPr>
        <w:instrText xml:space="preserve"> PAGEREF _Toc32176 \h </w:instrText>
      </w:r>
      <w:r>
        <w:rPr>
          <w:color w:val="auto"/>
        </w:rPr>
        <w:fldChar w:fldCharType="separate"/>
      </w:r>
      <w:r>
        <w:rPr>
          <w:color w:val="auto"/>
        </w:rPr>
        <w:t>86</w:t>
      </w:r>
      <w:r>
        <w:rPr>
          <w:color w:val="auto"/>
        </w:rPr>
        <w:fldChar w:fldCharType="end"/>
      </w:r>
      <w:r>
        <w:rPr>
          <w:rFonts w:hint="eastAsia"/>
          <w:color w:val="auto"/>
          <w:lang w:val="en-US" w:eastAsia="zh-CN"/>
        </w:rPr>
        <w:fldChar w:fldCharType="end"/>
      </w:r>
    </w:p>
    <w:p>
      <w:pPr>
        <w:pStyle w:val="6"/>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_Toc18630 </w:instrText>
      </w:r>
      <w:r>
        <w:rPr>
          <w:rFonts w:hint="eastAsia"/>
          <w:color w:val="auto"/>
          <w:lang w:val="en-US" w:eastAsia="zh-CN"/>
        </w:rPr>
        <w:fldChar w:fldCharType="separate"/>
      </w:r>
      <w:r>
        <w:rPr>
          <w:rFonts w:hint="eastAsia"/>
          <w:color w:val="auto"/>
          <w:lang w:val="en-US" w:eastAsia="zh-CN"/>
        </w:rPr>
        <w:t>4.1.2企业主要生产用能系统分析</w:t>
      </w:r>
      <w:r>
        <w:rPr>
          <w:color w:val="auto"/>
        </w:rPr>
        <w:tab/>
      </w:r>
      <w:r>
        <w:rPr>
          <w:color w:val="auto"/>
        </w:rPr>
        <w:fldChar w:fldCharType="begin"/>
      </w:r>
      <w:r>
        <w:rPr>
          <w:color w:val="auto"/>
        </w:rPr>
        <w:instrText xml:space="preserve"> PAGEREF _Toc18630 \h </w:instrText>
      </w:r>
      <w:r>
        <w:rPr>
          <w:color w:val="auto"/>
        </w:rPr>
        <w:fldChar w:fldCharType="separate"/>
      </w:r>
      <w:r>
        <w:rPr>
          <w:color w:val="auto"/>
        </w:rPr>
        <w:t>89</w:t>
      </w:r>
      <w:r>
        <w:rPr>
          <w:color w:val="auto"/>
        </w:rPr>
        <w:fldChar w:fldCharType="end"/>
      </w:r>
      <w:r>
        <w:rPr>
          <w:rFonts w:hint="eastAsia"/>
          <w:color w:val="auto"/>
          <w:lang w:val="en-US" w:eastAsia="zh-CN"/>
        </w:rPr>
        <w:fldChar w:fldCharType="end"/>
      </w:r>
    </w:p>
    <w:p>
      <w:pPr>
        <w:pStyle w:val="6"/>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_Toc18226 </w:instrText>
      </w:r>
      <w:r>
        <w:rPr>
          <w:rFonts w:hint="eastAsia"/>
          <w:color w:val="auto"/>
          <w:lang w:val="en-US" w:eastAsia="zh-CN"/>
        </w:rPr>
        <w:fldChar w:fldCharType="separate"/>
      </w:r>
      <w:r>
        <w:rPr>
          <w:rFonts w:hint="eastAsia"/>
          <w:color w:val="auto"/>
          <w:lang w:val="en-US" w:eastAsia="zh-CN"/>
        </w:rPr>
        <w:t>4.1.3 企业辅助生产用能系统分析</w:t>
      </w:r>
      <w:r>
        <w:rPr>
          <w:color w:val="auto"/>
        </w:rPr>
        <w:tab/>
      </w:r>
      <w:r>
        <w:rPr>
          <w:color w:val="auto"/>
        </w:rPr>
        <w:fldChar w:fldCharType="begin"/>
      </w:r>
      <w:r>
        <w:rPr>
          <w:color w:val="auto"/>
        </w:rPr>
        <w:instrText xml:space="preserve"> PAGEREF _Toc18226 \h </w:instrText>
      </w:r>
      <w:r>
        <w:rPr>
          <w:color w:val="auto"/>
        </w:rPr>
        <w:fldChar w:fldCharType="separate"/>
      </w:r>
      <w:r>
        <w:rPr>
          <w:color w:val="auto"/>
        </w:rPr>
        <w:t>109</w:t>
      </w:r>
      <w:r>
        <w:rPr>
          <w:color w:val="auto"/>
        </w:rPr>
        <w:fldChar w:fldCharType="end"/>
      </w:r>
      <w:r>
        <w:rPr>
          <w:rFonts w:hint="eastAsia"/>
          <w:color w:val="auto"/>
          <w:lang w:val="en-US" w:eastAsia="zh-CN"/>
        </w:rPr>
        <w:fldChar w:fldCharType="end"/>
      </w:r>
    </w:p>
    <w:p>
      <w:pPr>
        <w:pStyle w:val="6"/>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_Toc30487 </w:instrText>
      </w:r>
      <w:r>
        <w:rPr>
          <w:rFonts w:hint="eastAsia"/>
          <w:color w:val="auto"/>
          <w:lang w:val="en-US" w:eastAsia="zh-CN"/>
        </w:rPr>
        <w:fldChar w:fldCharType="separate"/>
      </w:r>
      <w:r>
        <w:rPr>
          <w:rFonts w:hint="eastAsia"/>
          <w:color w:val="auto"/>
          <w:lang w:val="en-US" w:eastAsia="zh-CN"/>
        </w:rPr>
        <w:t>4.1.4 企业附属用能系统分析</w:t>
      </w:r>
      <w:r>
        <w:rPr>
          <w:color w:val="auto"/>
        </w:rPr>
        <w:tab/>
      </w:r>
      <w:r>
        <w:rPr>
          <w:color w:val="auto"/>
        </w:rPr>
        <w:fldChar w:fldCharType="begin"/>
      </w:r>
      <w:r>
        <w:rPr>
          <w:color w:val="auto"/>
        </w:rPr>
        <w:instrText xml:space="preserve"> PAGEREF _Toc30487 \h </w:instrText>
      </w:r>
      <w:r>
        <w:rPr>
          <w:color w:val="auto"/>
        </w:rPr>
        <w:fldChar w:fldCharType="separate"/>
      </w:r>
      <w:r>
        <w:rPr>
          <w:color w:val="auto"/>
        </w:rPr>
        <w:t>119</w:t>
      </w:r>
      <w:r>
        <w:rPr>
          <w:color w:val="auto"/>
        </w:rPr>
        <w:fldChar w:fldCharType="end"/>
      </w:r>
      <w:r>
        <w:rPr>
          <w:rFonts w:hint="eastAsia"/>
          <w:color w:val="auto"/>
          <w:lang w:val="en-US" w:eastAsia="zh-CN"/>
        </w:rPr>
        <w:fldChar w:fldCharType="end"/>
      </w:r>
    </w:p>
    <w:p>
      <w:pPr>
        <w:pStyle w:val="10"/>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_Toc18267 </w:instrText>
      </w:r>
      <w:r>
        <w:rPr>
          <w:rFonts w:hint="eastAsia"/>
          <w:color w:val="auto"/>
          <w:lang w:val="en-US" w:eastAsia="zh-CN"/>
        </w:rPr>
        <w:fldChar w:fldCharType="separate"/>
      </w:r>
      <w:r>
        <w:rPr>
          <w:rFonts w:hint="eastAsia"/>
          <w:color w:val="auto"/>
          <w:lang w:val="en-US" w:eastAsia="zh-CN"/>
        </w:rPr>
        <w:t>4.2 区域各行业经济能效指标分析</w:t>
      </w:r>
      <w:r>
        <w:rPr>
          <w:color w:val="auto"/>
        </w:rPr>
        <w:tab/>
      </w:r>
      <w:r>
        <w:rPr>
          <w:color w:val="auto"/>
        </w:rPr>
        <w:fldChar w:fldCharType="begin"/>
      </w:r>
      <w:r>
        <w:rPr>
          <w:color w:val="auto"/>
        </w:rPr>
        <w:instrText xml:space="preserve"> PAGEREF _Toc18267 \h </w:instrText>
      </w:r>
      <w:r>
        <w:rPr>
          <w:color w:val="auto"/>
        </w:rPr>
        <w:fldChar w:fldCharType="separate"/>
      </w:r>
      <w:r>
        <w:rPr>
          <w:color w:val="auto"/>
        </w:rPr>
        <w:t>130</w:t>
      </w:r>
      <w:r>
        <w:rPr>
          <w:color w:val="auto"/>
        </w:rPr>
        <w:fldChar w:fldCharType="end"/>
      </w:r>
      <w:r>
        <w:rPr>
          <w:rFonts w:hint="eastAsia"/>
          <w:color w:val="auto"/>
          <w:lang w:val="en-US" w:eastAsia="zh-CN"/>
        </w:rPr>
        <w:fldChar w:fldCharType="end"/>
      </w:r>
    </w:p>
    <w:p>
      <w:pPr>
        <w:pStyle w:val="10"/>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_Toc21094 </w:instrText>
      </w:r>
      <w:r>
        <w:rPr>
          <w:rFonts w:hint="eastAsia"/>
          <w:color w:val="auto"/>
          <w:lang w:val="en-US" w:eastAsia="zh-CN"/>
        </w:rPr>
        <w:fldChar w:fldCharType="separate"/>
      </w:r>
      <w:r>
        <w:rPr>
          <w:rFonts w:hint="eastAsia"/>
          <w:color w:val="auto"/>
          <w:lang w:val="en-US" w:eastAsia="zh-CN"/>
        </w:rPr>
        <w:t>4.3 区域各行业物理能效指标分析</w:t>
      </w:r>
      <w:r>
        <w:rPr>
          <w:color w:val="auto"/>
        </w:rPr>
        <w:tab/>
      </w:r>
      <w:r>
        <w:rPr>
          <w:color w:val="auto"/>
        </w:rPr>
        <w:fldChar w:fldCharType="begin"/>
      </w:r>
      <w:r>
        <w:rPr>
          <w:color w:val="auto"/>
        </w:rPr>
        <w:instrText xml:space="preserve"> PAGEREF _Toc21094 \h </w:instrText>
      </w:r>
      <w:r>
        <w:rPr>
          <w:color w:val="auto"/>
        </w:rPr>
        <w:fldChar w:fldCharType="separate"/>
      </w:r>
      <w:r>
        <w:rPr>
          <w:color w:val="auto"/>
        </w:rPr>
        <w:t>131</w:t>
      </w:r>
      <w:r>
        <w:rPr>
          <w:color w:val="auto"/>
        </w:rPr>
        <w:fldChar w:fldCharType="end"/>
      </w:r>
      <w:r>
        <w:rPr>
          <w:rFonts w:hint="eastAsia"/>
          <w:color w:val="auto"/>
          <w:lang w:val="en-US" w:eastAsia="zh-CN"/>
        </w:rPr>
        <w:fldChar w:fldCharType="end"/>
      </w:r>
    </w:p>
    <w:p>
      <w:pPr>
        <w:pStyle w:val="10"/>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_Toc10928 </w:instrText>
      </w:r>
      <w:r>
        <w:rPr>
          <w:rFonts w:hint="eastAsia"/>
          <w:color w:val="auto"/>
          <w:lang w:val="en-US" w:eastAsia="zh-CN"/>
        </w:rPr>
        <w:fldChar w:fldCharType="separate"/>
      </w:r>
      <w:r>
        <w:rPr>
          <w:rFonts w:hint="eastAsia"/>
          <w:color w:val="auto"/>
          <w:lang w:val="en-US" w:eastAsia="zh-CN"/>
        </w:rPr>
        <w:t>4.4 区域通用用能设备能效水平</w:t>
      </w:r>
      <w:r>
        <w:rPr>
          <w:color w:val="auto"/>
        </w:rPr>
        <w:tab/>
      </w:r>
      <w:r>
        <w:rPr>
          <w:color w:val="auto"/>
        </w:rPr>
        <w:fldChar w:fldCharType="begin"/>
      </w:r>
      <w:r>
        <w:rPr>
          <w:color w:val="auto"/>
        </w:rPr>
        <w:instrText xml:space="preserve"> PAGEREF _Toc10928 \h </w:instrText>
      </w:r>
      <w:r>
        <w:rPr>
          <w:color w:val="auto"/>
        </w:rPr>
        <w:fldChar w:fldCharType="separate"/>
      </w:r>
      <w:r>
        <w:rPr>
          <w:color w:val="auto"/>
        </w:rPr>
        <w:t>148</w:t>
      </w:r>
      <w:r>
        <w:rPr>
          <w:color w:val="auto"/>
        </w:rPr>
        <w:fldChar w:fldCharType="end"/>
      </w:r>
      <w:r>
        <w:rPr>
          <w:rFonts w:hint="eastAsia"/>
          <w:color w:val="auto"/>
          <w:lang w:val="en-US" w:eastAsia="zh-CN"/>
        </w:rPr>
        <w:fldChar w:fldCharType="end"/>
      </w:r>
    </w:p>
    <w:p>
      <w:pPr>
        <w:pStyle w:val="9"/>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_Toc11964 </w:instrText>
      </w:r>
      <w:r>
        <w:rPr>
          <w:rFonts w:hint="eastAsia"/>
          <w:color w:val="auto"/>
          <w:lang w:val="en-US" w:eastAsia="zh-CN"/>
        </w:rPr>
        <w:fldChar w:fldCharType="separate"/>
      </w:r>
      <w:r>
        <w:rPr>
          <w:rFonts w:hint="eastAsia"/>
          <w:color w:val="auto"/>
          <w:lang w:val="en-US" w:eastAsia="zh-CN"/>
        </w:rPr>
        <w:t>第五章 区域产业负面清单</w:t>
      </w:r>
      <w:r>
        <w:rPr>
          <w:color w:val="auto"/>
        </w:rPr>
        <w:tab/>
      </w:r>
      <w:r>
        <w:rPr>
          <w:color w:val="auto"/>
        </w:rPr>
        <w:fldChar w:fldCharType="begin"/>
      </w:r>
      <w:r>
        <w:rPr>
          <w:color w:val="auto"/>
        </w:rPr>
        <w:instrText xml:space="preserve"> PAGEREF _Toc11964 \h </w:instrText>
      </w:r>
      <w:r>
        <w:rPr>
          <w:color w:val="auto"/>
        </w:rPr>
        <w:fldChar w:fldCharType="separate"/>
      </w:r>
      <w:r>
        <w:rPr>
          <w:color w:val="auto"/>
        </w:rPr>
        <w:t>150</w:t>
      </w:r>
      <w:r>
        <w:rPr>
          <w:color w:val="auto"/>
        </w:rPr>
        <w:fldChar w:fldCharType="end"/>
      </w:r>
      <w:r>
        <w:rPr>
          <w:rFonts w:hint="eastAsia"/>
          <w:color w:val="auto"/>
          <w:lang w:val="en-US" w:eastAsia="zh-CN"/>
        </w:rPr>
        <w:fldChar w:fldCharType="end"/>
      </w:r>
    </w:p>
    <w:p>
      <w:pPr>
        <w:pStyle w:val="10"/>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_Toc20553 </w:instrText>
      </w:r>
      <w:r>
        <w:rPr>
          <w:rFonts w:hint="eastAsia"/>
          <w:color w:val="auto"/>
          <w:lang w:val="en-US" w:eastAsia="zh-CN"/>
        </w:rPr>
        <w:fldChar w:fldCharType="separate"/>
      </w:r>
      <w:r>
        <w:rPr>
          <w:rFonts w:hint="eastAsia"/>
          <w:color w:val="auto"/>
          <w:lang w:val="en-US" w:eastAsia="zh-CN"/>
        </w:rPr>
        <w:t>5.1 区域产业发展要点</w:t>
      </w:r>
      <w:r>
        <w:rPr>
          <w:color w:val="auto"/>
        </w:rPr>
        <w:tab/>
      </w:r>
      <w:r>
        <w:rPr>
          <w:color w:val="auto"/>
        </w:rPr>
        <w:fldChar w:fldCharType="begin"/>
      </w:r>
      <w:r>
        <w:rPr>
          <w:color w:val="auto"/>
        </w:rPr>
        <w:instrText xml:space="preserve"> PAGEREF _Toc20553 \h </w:instrText>
      </w:r>
      <w:r>
        <w:rPr>
          <w:color w:val="auto"/>
        </w:rPr>
        <w:fldChar w:fldCharType="separate"/>
      </w:r>
      <w:r>
        <w:rPr>
          <w:color w:val="auto"/>
        </w:rPr>
        <w:t>150</w:t>
      </w:r>
      <w:r>
        <w:rPr>
          <w:color w:val="auto"/>
        </w:rPr>
        <w:fldChar w:fldCharType="end"/>
      </w:r>
      <w:r>
        <w:rPr>
          <w:rFonts w:hint="eastAsia"/>
          <w:color w:val="auto"/>
          <w:lang w:val="en-US" w:eastAsia="zh-CN"/>
        </w:rPr>
        <w:fldChar w:fldCharType="end"/>
      </w:r>
    </w:p>
    <w:p>
      <w:pPr>
        <w:pStyle w:val="10"/>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_Toc9536 </w:instrText>
      </w:r>
      <w:r>
        <w:rPr>
          <w:rFonts w:hint="eastAsia"/>
          <w:color w:val="auto"/>
          <w:lang w:val="en-US" w:eastAsia="zh-CN"/>
        </w:rPr>
        <w:fldChar w:fldCharType="separate"/>
      </w:r>
      <w:r>
        <w:rPr>
          <w:rFonts w:hint="eastAsia"/>
          <w:color w:val="auto"/>
          <w:lang w:val="en-US" w:eastAsia="zh-CN"/>
        </w:rPr>
        <w:t>5.2 区域产业负面清单的确定</w:t>
      </w:r>
      <w:r>
        <w:rPr>
          <w:color w:val="auto"/>
        </w:rPr>
        <w:tab/>
      </w:r>
      <w:r>
        <w:rPr>
          <w:color w:val="auto"/>
        </w:rPr>
        <w:fldChar w:fldCharType="begin"/>
      </w:r>
      <w:r>
        <w:rPr>
          <w:color w:val="auto"/>
        </w:rPr>
        <w:instrText xml:space="preserve"> PAGEREF _Toc9536 \h </w:instrText>
      </w:r>
      <w:r>
        <w:rPr>
          <w:color w:val="auto"/>
        </w:rPr>
        <w:fldChar w:fldCharType="separate"/>
      </w:r>
      <w:r>
        <w:rPr>
          <w:color w:val="auto"/>
        </w:rPr>
        <w:t>153</w:t>
      </w:r>
      <w:r>
        <w:rPr>
          <w:color w:val="auto"/>
        </w:rPr>
        <w:fldChar w:fldCharType="end"/>
      </w:r>
      <w:r>
        <w:rPr>
          <w:rFonts w:hint="eastAsia"/>
          <w:color w:val="auto"/>
          <w:lang w:val="en-US" w:eastAsia="zh-CN"/>
        </w:rPr>
        <w:fldChar w:fldCharType="end"/>
      </w:r>
    </w:p>
    <w:p>
      <w:pPr>
        <w:pStyle w:val="10"/>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_Toc29045 </w:instrText>
      </w:r>
      <w:r>
        <w:rPr>
          <w:rFonts w:hint="eastAsia"/>
          <w:color w:val="auto"/>
          <w:lang w:val="en-US" w:eastAsia="zh-CN"/>
        </w:rPr>
        <w:fldChar w:fldCharType="separate"/>
      </w:r>
      <w:r>
        <w:rPr>
          <w:rFonts w:hint="eastAsia"/>
          <w:color w:val="auto"/>
          <w:lang w:val="en-US" w:eastAsia="zh-CN"/>
        </w:rPr>
        <w:t>5.3 区域产业负面清单信息的汇总</w:t>
      </w:r>
      <w:r>
        <w:rPr>
          <w:color w:val="auto"/>
        </w:rPr>
        <w:tab/>
      </w:r>
      <w:r>
        <w:rPr>
          <w:color w:val="auto"/>
        </w:rPr>
        <w:fldChar w:fldCharType="begin"/>
      </w:r>
      <w:r>
        <w:rPr>
          <w:color w:val="auto"/>
        </w:rPr>
        <w:instrText xml:space="preserve"> PAGEREF _Toc29045 \h </w:instrText>
      </w:r>
      <w:r>
        <w:rPr>
          <w:color w:val="auto"/>
        </w:rPr>
        <w:fldChar w:fldCharType="separate"/>
      </w:r>
      <w:r>
        <w:rPr>
          <w:color w:val="auto"/>
        </w:rPr>
        <w:t>154</w:t>
      </w:r>
      <w:r>
        <w:rPr>
          <w:color w:val="auto"/>
        </w:rPr>
        <w:fldChar w:fldCharType="end"/>
      </w:r>
      <w:r>
        <w:rPr>
          <w:rFonts w:hint="eastAsia"/>
          <w:color w:val="auto"/>
          <w:lang w:val="en-US" w:eastAsia="zh-CN"/>
        </w:rPr>
        <w:fldChar w:fldCharType="end"/>
      </w:r>
    </w:p>
    <w:p>
      <w:pPr>
        <w:pStyle w:val="9"/>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_Toc957 </w:instrText>
      </w:r>
      <w:r>
        <w:rPr>
          <w:rFonts w:hint="eastAsia"/>
          <w:color w:val="auto"/>
          <w:lang w:val="en-US" w:eastAsia="zh-CN"/>
        </w:rPr>
        <w:fldChar w:fldCharType="separate"/>
      </w:r>
      <w:r>
        <w:rPr>
          <w:rFonts w:hint="eastAsia"/>
          <w:color w:val="auto"/>
          <w:lang w:val="en-US" w:eastAsia="zh-CN"/>
        </w:rPr>
        <w:t>第六章 区域节能措施</w:t>
      </w:r>
      <w:r>
        <w:rPr>
          <w:color w:val="auto"/>
        </w:rPr>
        <w:tab/>
      </w:r>
      <w:r>
        <w:rPr>
          <w:color w:val="auto"/>
        </w:rPr>
        <w:fldChar w:fldCharType="begin"/>
      </w:r>
      <w:r>
        <w:rPr>
          <w:color w:val="auto"/>
        </w:rPr>
        <w:instrText xml:space="preserve"> PAGEREF _Toc957 \h </w:instrText>
      </w:r>
      <w:r>
        <w:rPr>
          <w:color w:val="auto"/>
        </w:rPr>
        <w:fldChar w:fldCharType="separate"/>
      </w:r>
      <w:r>
        <w:rPr>
          <w:color w:val="auto"/>
        </w:rPr>
        <w:t>156</w:t>
      </w:r>
      <w:r>
        <w:rPr>
          <w:color w:val="auto"/>
        </w:rPr>
        <w:fldChar w:fldCharType="end"/>
      </w:r>
      <w:r>
        <w:rPr>
          <w:rFonts w:hint="eastAsia"/>
          <w:color w:val="auto"/>
          <w:lang w:val="en-US" w:eastAsia="zh-CN"/>
        </w:rPr>
        <w:fldChar w:fldCharType="end"/>
      </w:r>
    </w:p>
    <w:p>
      <w:pPr>
        <w:pStyle w:val="10"/>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_Toc8095 </w:instrText>
      </w:r>
      <w:r>
        <w:rPr>
          <w:rFonts w:hint="eastAsia"/>
          <w:color w:val="auto"/>
          <w:lang w:val="en-US" w:eastAsia="zh-CN"/>
        </w:rPr>
        <w:fldChar w:fldCharType="separate"/>
      </w:r>
      <w:r>
        <w:rPr>
          <w:rFonts w:hint="eastAsia"/>
          <w:color w:val="auto"/>
          <w:lang w:val="en-US" w:eastAsia="zh-CN"/>
        </w:rPr>
        <w:t>6.1 区域各行业节能技术措施</w:t>
      </w:r>
      <w:r>
        <w:rPr>
          <w:color w:val="auto"/>
        </w:rPr>
        <w:tab/>
      </w:r>
      <w:r>
        <w:rPr>
          <w:color w:val="auto"/>
        </w:rPr>
        <w:fldChar w:fldCharType="begin"/>
      </w:r>
      <w:r>
        <w:rPr>
          <w:color w:val="auto"/>
        </w:rPr>
        <w:instrText xml:space="preserve"> PAGEREF _Toc8095 \h </w:instrText>
      </w:r>
      <w:r>
        <w:rPr>
          <w:color w:val="auto"/>
        </w:rPr>
        <w:fldChar w:fldCharType="separate"/>
      </w:r>
      <w:r>
        <w:rPr>
          <w:color w:val="auto"/>
        </w:rPr>
        <w:t>156</w:t>
      </w:r>
      <w:r>
        <w:rPr>
          <w:color w:val="auto"/>
        </w:rPr>
        <w:fldChar w:fldCharType="end"/>
      </w:r>
      <w:r>
        <w:rPr>
          <w:rFonts w:hint="eastAsia"/>
          <w:color w:val="auto"/>
          <w:lang w:val="en-US" w:eastAsia="zh-CN"/>
        </w:rPr>
        <w:fldChar w:fldCharType="end"/>
      </w:r>
    </w:p>
    <w:p>
      <w:pPr>
        <w:pStyle w:val="6"/>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_Toc28025 </w:instrText>
      </w:r>
      <w:r>
        <w:rPr>
          <w:rFonts w:hint="eastAsia"/>
          <w:color w:val="auto"/>
          <w:lang w:val="en-US" w:eastAsia="zh-CN"/>
        </w:rPr>
        <w:fldChar w:fldCharType="separate"/>
      </w:r>
      <w:r>
        <w:rPr>
          <w:rFonts w:hint="eastAsia"/>
          <w:color w:val="auto"/>
          <w:lang w:val="en-US" w:eastAsia="zh-CN"/>
        </w:rPr>
        <w:t>6.1.1 磷系化工及其他化工产业</w:t>
      </w:r>
      <w:r>
        <w:rPr>
          <w:color w:val="auto"/>
        </w:rPr>
        <w:tab/>
      </w:r>
      <w:r>
        <w:rPr>
          <w:color w:val="auto"/>
        </w:rPr>
        <w:fldChar w:fldCharType="begin"/>
      </w:r>
      <w:r>
        <w:rPr>
          <w:color w:val="auto"/>
        </w:rPr>
        <w:instrText xml:space="preserve"> PAGEREF _Toc28025 \h </w:instrText>
      </w:r>
      <w:r>
        <w:rPr>
          <w:color w:val="auto"/>
        </w:rPr>
        <w:fldChar w:fldCharType="separate"/>
      </w:r>
      <w:r>
        <w:rPr>
          <w:color w:val="auto"/>
        </w:rPr>
        <w:t>156</w:t>
      </w:r>
      <w:r>
        <w:rPr>
          <w:color w:val="auto"/>
        </w:rPr>
        <w:fldChar w:fldCharType="end"/>
      </w:r>
      <w:r>
        <w:rPr>
          <w:rFonts w:hint="eastAsia"/>
          <w:color w:val="auto"/>
          <w:lang w:val="en-US" w:eastAsia="zh-CN"/>
        </w:rPr>
        <w:fldChar w:fldCharType="end"/>
      </w:r>
    </w:p>
    <w:p>
      <w:pPr>
        <w:pStyle w:val="6"/>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_Toc4699 </w:instrText>
      </w:r>
      <w:r>
        <w:rPr>
          <w:rFonts w:hint="eastAsia"/>
          <w:color w:val="auto"/>
          <w:lang w:val="en-US" w:eastAsia="zh-CN"/>
        </w:rPr>
        <w:fldChar w:fldCharType="separate"/>
      </w:r>
      <w:r>
        <w:rPr>
          <w:rFonts w:hint="eastAsia"/>
          <w:color w:val="auto"/>
          <w:lang w:val="en-US" w:eastAsia="zh-CN"/>
        </w:rPr>
        <w:t>6.1.2 建材产业</w:t>
      </w:r>
      <w:r>
        <w:rPr>
          <w:color w:val="auto"/>
        </w:rPr>
        <w:tab/>
      </w:r>
      <w:r>
        <w:rPr>
          <w:color w:val="auto"/>
        </w:rPr>
        <w:fldChar w:fldCharType="begin"/>
      </w:r>
      <w:r>
        <w:rPr>
          <w:color w:val="auto"/>
        </w:rPr>
        <w:instrText xml:space="preserve"> PAGEREF _Toc4699 \h </w:instrText>
      </w:r>
      <w:r>
        <w:rPr>
          <w:color w:val="auto"/>
        </w:rPr>
        <w:fldChar w:fldCharType="separate"/>
      </w:r>
      <w:r>
        <w:rPr>
          <w:color w:val="auto"/>
        </w:rPr>
        <w:t>156</w:t>
      </w:r>
      <w:r>
        <w:rPr>
          <w:color w:val="auto"/>
        </w:rPr>
        <w:fldChar w:fldCharType="end"/>
      </w:r>
      <w:r>
        <w:rPr>
          <w:rFonts w:hint="eastAsia"/>
          <w:color w:val="auto"/>
          <w:lang w:val="en-US" w:eastAsia="zh-CN"/>
        </w:rPr>
        <w:fldChar w:fldCharType="end"/>
      </w:r>
    </w:p>
    <w:p>
      <w:pPr>
        <w:pStyle w:val="6"/>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_Toc24468 </w:instrText>
      </w:r>
      <w:r>
        <w:rPr>
          <w:rFonts w:hint="eastAsia"/>
          <w:color w:val="auto"/>
          <w:lang w:val="en-US" w:eastAsia="zh-CN"/>
        </w:rPr>
        <w:fldChar w:fldCharType="separate"/>
      </w:r>
      <w:r>
        <w:rPr>
          <w:rFonts w:hint="eastAsia"/>
          <w:color w:val="auto"/>
          <w:lang w:val="en-US" w:eastAsia="zh-CN"/>
        </w:rPr>
        <w:t>6.1.3 食品药品制造产业</w:t>
      </w:r>
      <w:r>
        <w:rPr>
          <w:color w:val="auto"/>
        </w:rPr>
        <w:tab/>
      </w:r>
      <w:r>
        <w:rPr>
          <w:color w:val="auto"/>
        </w:rPr>
        <w:fldChar w:fldCharType="begin"/>
      </w:r>
      <w:r>
        <w:rPr>
          <w:color w:val="auto"/>
        </w:rPr>
        <w:instrText xml:space="preserve"> PAGEREF _Toc24468 \h </w:instrText>
      </w:r>
      <w:r>
        <w:rPr>
          <w:color w:val="auto"/>
        </w:rPr>
        <w:fldChar w:fldCharType="separate"/>
      </w:r>
      <w:r>
        <w:rPr>
          <w:color w:val="auto"/>
        </w:rPr>
        <w:t>157</w:t>
      </w:r>
      <w:r>
        <w:rPr>
          <w:color w:val="auto"/>
        </w:rPr>
        <w:fldChar w:fldCharType="end"/>
      </w:r>
      <w:r>
        <w:rPr>
          <w:rFonts w:hint="eastAsia"/>
          <w:color w:val="auto"/>
          <w:lang w:val="en-US" w:eastAsia="zh-CN"/>
        </w:rPr>
        <w:fldChar w:fldCharType="end"/>
      </w:r>
    </w:p>
    <w:p>
      <w:pPr>
        <w:pStyle w:val="6"/>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_Toc20154 </w:instrText>
      </w:r>
      <w:r>
        <w:rPr>
          <w:rFonts w:hint="eastAsia"/>
          <w:color w:val="auto"/>
          <w:lang w:val="en-US" w:eastAsia="zh-CN"/>
        </w:rPr>
        <w:fldChar w:fldCharType="separate"/>
      </w:r>
      <w:r>
        <w:rPr>
          <w:rFonts w:hint="eastAsia"/>
          <w:color w:val="auto"/>
          <w:lang w:val="en-US" w:eastAsia="zh-CN"/>
        </w:rPr>
        <w:t>6.1.4 公用工程节能技术措施</w:t>
      </w:r>
      <w:r>
        <w:rPr>
          <w:color w:val="auto"/>
        </w:rPr>
        <w:tab/>
      </w:r>
      <w:r>
        <w:rPr>
          <w:color w:val="auto"/>
        </w:rPr>
        <w:fldChar w:fldCharType="begin"/>
      </w:r>
      <w:r>
        <w:rPr>
          <w:color w:val="auto"/>
        </w:rPr>
        <w:instrText xml:space="preserve"> PAGEREF _Toc20154 \h </w:instrText>
      </w:r>
      <w:r>
        <w:rPr>
          <w:color w:val="auto"/>
        </w:rPr>
        <w:fldChar w:fldCharType="separate"/>
      </w:r>
      <w:r>
        <w:rPr>
          <w:color w:val="auto"/>
        </w:rPr>
        <w:t>159</w:t>
      </w:r>
      <w:r>
        <w:rPr>
          <w:color w:val="auto"/>
        </w:rPr>
        <w:fldChar w:fldCharType="end"/>
      </w:r>
      <w:r>
        <w:rPr>
          <w:rFonts w:hint="eastAsia"/>
          <w:color w:val="auto"/>
          <w:lang w:val="en-US" w:eastAsia="zh-CN"/>
        </w:rPr>
        <w:fldChar w:fldCharType="end"/>
      </w:r>
    </w:p>
    <w:p>
      <w:pPr>
        <w:pStyle w:val="6"/>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_Toc7558 </w:instrText>
      </w:r>
      <w:r>
        <w:rPr>
          <w:rFonts w:hint="eastAsia"/>
          <w:color w:val="auto"/>
          <w:lang w:val="en-US" w:eastAsia="zh-CN"/>
        </w:rPr>
        <w:fldChar w:fldCharType="separate"/>
      </w:r>
      <w:r>
        <w:rPr>
          <w:rFonts w:hint="eastAsia"/>
          <w:color w:val="auto"/>
          <w:lang w:val="en-US" w:eastAsia="zh-CN"/>
        </w:rPr>
        <w:t>6.1.5 建筑节能</w:t>
      </w:r>
      <w:r>
        <w:rPr>
          <w:color w:val="auto"/>
        </w:rPr>
        <w:tab/>
      </w:r>
      <w:r>
        <w:rPr>
          <w:color w:val="auto"/>
        </w:rPr>
        <w:fldChar w:fldCharType="begin"/>
      </w:r>
      <w:r>
        <w:rPr>
          <w:color w:val="auto"/>
        </w:rPr>
        <w:instrText xml:space="preserve"> PAGEREF _Toc7558 \h </w:instrText>
      </w:r>
      <w:r>
        <w:rPr>
          <w:color w:val="auto"/>
        </w:rPr>
        <w:fldChar w:fldCharType="separate"/>
      </w:r>
      <w:r>
        <w:rPr>
          <w:color w:val="auto"/>
        </w:rPr>
        <w:t>164</w:t>
      </w:r>
      <w:r>
        <w:rPr>
          <w:color w:val="auto"/>
        </w:rPr>
        <w:fldChar w:fldCharType="end"/>
      </w:r>
      <w:r>
        <w:rPr>
          <w:rFonts w:hint="eastAsia"/>
          <w:color w:val="auto"/>
          <w:lang w:val="en-US" w:eastAsia="zh-CN"/>
        </w:rPr>
        <w:fldChar w:fldCharType="end"/>
      </w:r>
    </w:p>
    <w:p>
      <w:pPr>
        <w:pStyle w:val="10"/>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_Toc14933 </w:instrText>
      </w:r>
      <w:r>
        <w:rPr>
          <w:rFonts w:hint="eastAsia"/>
          <w:color w:val="auto"/>
          <w:lang w:val="en-US" w:eastAsia="zh-CN"/>
        </w:rPr>
        <w:fldChar w:fldCharType="separate"/>
      </w:r>
      <w:r>
        <w:rPr>
          <w:rFonts w:hint="eastAsia"/>
          <w:color w:val="auto"/>
          <w:lang w:val="en-US" w:eastAsia="zh-CN"/>
        </w:rPr>
        <w:t>6.2 区域各行业节能管理措施</w:t>
      </w:r>
      <w:r>
        <w:rPr>
          <w:color w:val="auto"/>
        </w:rPr>
        <w:tab/>
      </w:r>
      <w:r>
        <w:rPr>
          <w:color w:val="auto"/>
        </w:rPr>
        <w:fldChar w:fldCharType="begin"/>
      </w:r>
      <w:r>
        <w:rPr>
          <w:color w:val="auto"/>
        </w:rPr>
        <w:instrText xml:space="preserve"> PAGEREF _Toc14933 \h </w:instrText>
      </w:r>
      <w:r>
        <w:rPr>
          <w:color w:val="auto"/>
        </w:rPr>
        <w:fldChar w:fldCharType="separate"/>
      </w:r>
      <w:r>
        <w:rPr>
          <w:color w:val="auto"/>
        </w:rPr>
        <w:t>165</w:t>
      </w:r>
      <w:r>
        <w:rPr>
          <w:color w:val="auto"/>
        </w:rPr>
        <w:fldChar w:fldCharType="end"/>
      </w:r>
      <w:r>
        <w:rPr>
          <w:rFonts w:hint="eastAsia"/>
          <w:color w:val="auto"/>
          <w:lang w:val="en-US" w:eastAsia="zh-CN"/>
        </w:rPr>
        <w:fldChar w:fldCharType="end"/>
      </w:r>
    </w:p>
    <w:p>
      <w:pPr>
        <w:pStyle w:val="6"/>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_Toc28285 </w:instrText>
      </w:r>
      <w:r>
        <w:rPr>
          <w:rFonts w:hint="eastAsia"/>
          <w:color w:val="auto"/>
          <w:lang w:val="en-US" w:eastAsia="zh-CN"/>
        </w:rPr>
        <w:fldChar w:fldCharType="separate"/>
      </w:r>
      <w:r>
        <w:rPr>
          <w:rFonts w:hint="eastAsia"/>
          <w:color w:val="auto"/>
          <w:lang w:val="en-US" w:eastAsia="zh-CN"/>
        </w:rPr>
        <w:t>6.2.1 能源管理体系</w:t>
      </w:r>
      <w:r>
        <w:rPr>
          <w:color w:val="auto"/>
        </w:rPr>
        <w:tab/>
      </w:r>
      <w:r>
        <w:rPr>
          <w:color w:val="auto"/>
        </w:rPr>
        <w:fldChar w:fldCharType="begin"/>
      </w:r>
      <w:r>
        <w:rPr>
          <w:color w:val="auto"/>
        </w:rPr>
        <w:instrText xml:space="preserve"> PAGEREF _Toc28285 \h </w:instrText>
      </w:r>
      <w:r>
        <w:rPr>
          <w:color w:val="auto"/>
        </w:rPr>
        <w:fldChar w:fldCharType="separate"/>
      </w:r>
      <w:r>
        <w:rPr>
          <w:color w:val="auto"/>
        </w:rPr>
        <w:t>165</w:t>
      </w:r>
      <w:r>
        <w:rPr>
          <w:color w:val="auto"/>
        </w:rPr>
        <w:fldChar w:fldCharType="end"/>
      </w:r>
      <w:r>
        <w:rPr>
          <w:rFonts w:hint="eastAsia"/>
          <w:color w:val="auto"/>
          <w:lang w:val="en-US" w:eastAsia="zh-CN"/>
        </w:rPr>
        <w:fldChar w:fldCharType="end"/>
      </w:r>
    </w:p>
    <w:p>
      <w:pPr>
        <w:pStyle w:val="6"/>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_Toc32696 </w:instrText>
      </w:r>
      <w:r>
        <w:rPr>
          <w:rFonts w:hint="eastAsia"/>
          <w:color w:val="auto"/>
          <w:lang w:val="en-US" w:eastAsia="zh-CN"/>
        </w:rPr>
        <w:fldChar w:fldCharType="separate"/>
      </w:r>
      <w:r>
        <w:rPr>
          <w:rFonts w:hint="eastAsia"/>
          <w:color w:val="auto"/>
          <w:lang w:val="en-US" w:eastAsia="zh-CN"/>
        </w:rPr>
        <w:t>6.2.2 信息化能源管理系统</w:t>
      </w:r>
      <w:r>
        <w:rPr>
          <w:color w:val="auto"/>
        </w:rPr>
        <w:tab/>
      </w:r>
      <w:r>
        <w:rPr>
          <w:color w:val="auto"/>
        </w:rPr>
        <w:fldChar w:fldCharType="begin"/>
      </w:r>
      <w:r>
        <w:rPr>
          <w:color w:val="auto"/>
        </w:rPr>
        <w:instrText xml:space="preserve"> PAGEREF _Toc32696 \h </w:instrText>
      </w:r>
      <w:r>
        <w:rPr>
          <w:color w:val="auto"/>
        </w:rPr>
        <w:fldChar w:fldCharType="separate"/>
      </w:r>
      <w:r>
        <w:rPr>
          <w:color w:val="auto"/>
        </w:rPr>
        <w:t>167</w:t>
      </w:r>
      <w:r>
        <w:rPr>
          <w:color w:val="auto"/>
        </w:rPr>
        <w:fldChar w:fldCharType="end"/>
      </w:r>
      <w:r>
        <w:rPr>
          <w:rFonts w:hint="eastAsia"/>
          <w:color w:val="auto"/>
          <w:lang w:val="en-US" w:eastAsia="zh-CN"/>
        </w:rPr>
        <w:fldChar w:fldCharType="end"/>
      </w:r>
    </w:p>
    <w:p>
      <w:pPr>
        <w:pStyle w:val="6"/>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_Toc6815 </w:instrText>
      </w:r>
      <w:r>
        <w:rPr>
          <w:rFonts w:hint="eastAsia"/>
          <w:color w:val="auto"/>
          <w:lang w:val="en-US" w:eastAsia="zh-CN"/>
        </w:rPr>
        <w:fldChar w:fldCharType="separate"/>
      </w:r>
      <w:r>
        <w:rPr>
          <w:rFonts w:hint="eastAsia"/>
          <w:color w:val="auto"/>
          <w:lang w:val="en-US" w:eastAsia="zh-CN"/>
        </w:rPr>
        <w:t>6.2.3 能源计量管理制度</w:t>
      </w:r>
      <w:r>
        <w:rPr>
          <w:color w:val="auto"/>
        </w:rPr>
        <w:tab/>
      </w:r>
      <w:r>
        <w:rPr>
          <w:color w:val="auto"/>
        </w:rPr>
        <w:fldChar w:fldCharType="begin"/>
      </w:r>
      <w:r>
        <w:rPr>
          <w:color w:val="auto"/>
        </w:rPr>
        <w:instrText xml:space="preserve"> PAGEREF _Toc6815 \h </w:instrText>
      </w:r>
      <w:r>
        <w:rPr>
          <w:color w:val="auto"/>
        </w:rPr>
        <w:fldChar w:fldCharType="separate"/>
      </w:r>
      <w:r>
        <w:rPr>
          <w:color w:val="auto"/>
        </w:rPr>
        <w:t>168</w:t>
      </w:r>
      <w:r>
        <w:rPr>
          <w:color w:val="auto"/>
        </w:rPr>
        <w:fldChar w:fldCharType="end"/>
      </w:r>
      <w:r>
        <w:rPr>
          <w:rFonts w:hint="eastAsia"/>
          <w:color w:val="auto"/>
          <w:lang w:val="en-US" w:eastAsia="zh-CN"/>
        </w:rPr>
        <w:fldChar w:fldCharType="end"/>
      </w:r>
    </w:p>
    <w:p>
      <w:pPr>
        <w:pStyle w:val="6"/>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_Toc5902 </w:instrText>
      </w:r>
      <w:r>
        <w:rPr>
          <w:rFonts w:hint="eastAsia"/>
          <w:color w:val="auto"/>
          <w:lang w:val="en-US" w:eastAsia="zh-CN"/>
        </w:rPr>
        <w:fldChar w:fldCharType="separate"/>
      </w:r>
      <w:r>
        <w:rPr>
          <w:rFonts w:hint="eastAsia"/>
          <w:color w:val="auto"/>
          <w:lang w:val="en-US" w:eastAsia="zh-CN"/>
        </w:rPr>
        <w:t>6.3 区域节能工程与用能结构优化</w:t>
      </w:r>
      <w:r>
        <w:rPr>
          <w:color w:val="auto"/>
        </w:rPr>
        <w:tab/>
      </w:r>
      <w:r>
        <w:rPr>
          <w:color w:val="auto"/>
        </w:rPr>
        <w:fldChar w:fldCharType="begin"/>
      </w:r>
      <w:r>
        <w:rPr>
          <w:color w:val="auto"/>
        </w:rPr>
        <w:instrText xml:space="preserve"> PAGEREF _Toc5902 \h </w:instrText>
      </w:r>
      <w:r>
        <w:rPr>
          <w:color w:val="auto"/>
        </w:rPr>
        <w:fldChar w:fldCharType="separate"/>
      </w:r>
      <w:r>
        <w:rPr>
          <w:color w:val="auto"/>
        </w:rPr>
        <w:t>170</w:t>
      </w:r>
      <w:r>
        <w:rPr>
          <w:color w:val="auto"/>
        </w:rPr>
        <w:fldChar w:fldCharType="end"/>
      </w:r>
      <w:r>
        <w:rPr>
          <w:rFonts w:hint="eastAsia"/>
          <w:color w:val="auto"/>
          <w:lang w:val="en-US" w:eastAsia="zh-CN"/>
        </w:rPr>
        <w:fldChar w:fldCharType="end"/>
      </w:r>
    </w:p>
    <w:p>
      <w:pPr>
        <w:pStyle w:val="9"/>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_Toc20360 </w:instrText>
      </w:r>
      <w:r>
        <w:rPr>
          <w:rFonts w:hint="eastAsia"/>
          <w:color w:val="auto"/>
          <w:lang w:val="en-US" w:eastAsia="zh-CN"/>
        </w:rPr>
        <w:fldChar w:fldCharType="separate"/>
      </w:r>
      <w:r>
        <w:rPr>
          <w:rFonts w:hint="eastAsia"/>
          <w:color w:val="auto"/>
          <w:lang w:val="en-US" w:eastAsia="zh-CN"/>
        </w:rPr>
        <w:t>第七章 结论与建议</w:t>
      </w:r>
      <w:r>
        <w:rPr>
          <w:color w:val="auto"/>
        </w:rPr>
        <w:tab/>
      </w:r>
      <w:r>
        <w:rPr>
          <w:color w:val="auto"/>
        </w:rPr>
        <w:fldChar w:fldCharType="begin"/>
      </w:r>
      <w:r>
        <w:rPr>
          <w:color w:val="auto"/>
        </w:rPr>
        <w:instrText xml:space="preserve"> PAGEREF _Toc20360 \h </w:instrText>
      </w:r>
      <w:r>
        <w:rPr>
          <w:color w:val="auto"/>
        </w:rPr>
        <w:fldChar w:fldCharType="separate"/>
      </w:r>
      <w:r>
        <w:rPr>
          <w:color w:val="auto"/>
        </w:rPr>
        <w:t>171</w:t>
      </w:r>
      <w:r>
        <w:rPr>
          <w:color w:val="auto"/>
        </w:rPr>
        <w:fldChar w:fldCharType="end"/>
      </w:r>
      <w:r>
        <w:rPr>
          <w:rFonts w:hint="eastAsia"/>
          <w:color w:val="auto"/>
          <w:lang w:val="en-US" w:eastAsia="zh-CN"/>
        </w:rPr>
        <w:fldChar w:fldCharType="end"/>
      </w:r>
    </w:p>
    <w:p>
      <w:pPr>
        <w:pStyle w:val="10"/>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_Toc7483 </w:instrText>
      </w:r>
      <w:r>
        <w:rPr>
          <w:rFonts w:hint="eastAsia"/>
          <w:color w:val="auto"/>
          <w:lang w:val="en-US" w:eastAsia="zh-CN"/>
        </w:rPr>
        <w:fldChar w:fldCharType="separate"/>
      </w:r>
      <w:r>
        <w:rPr>
          <w:rFonts w:hint="eastAsia"/>
          <w:color w:val="auto"/>
          <w:lang w:val="en-US" w:eastAsia="zh-CN"/>
        </w:rPr>
        <w:t>7.1 结论</w:t>
      </w:r>
      <w:r>
        <w:rPr>
          <w:color w:val="auto"/>
        </w:rPr>
        <w:tab/>
      </w:r>
      <w:r>
        <w:rPr>
          <w:color w:val="auto"/>
        </w:rPr>
        <w:fldChar w:fldCharType="begin"/>
      </w:r>
      <w:r>
        <w:rPr>
          <w:color w:val="auto"/>
        </w:rPr>
        <w:instrText xml:space="preserve"> PAGEREF _Toc7483 \h </w:instrText>
      </w:r>
      <w:r>
        <w:rPr>
          <w:color w:val="auto"/>
        </w:rPr>
        <w:fldChar w:fldCharType="separate"/>
      </w:r>
      <w:r>
        <w:rPr>
          <w:color w:val="auto"/>
        </w:rPr>
        <w:t>171</w:t>
      </w:r>
      <w:r>
        <w:rPr>
          <w:color w:val="auto"/>
        </w:rPr>
        <w:fldChar w:fldCharType="end"/>
      </w:r>
      <w:r>
        <w:rPr>
          <w:rFonts w:hint="eastAsia"/>
          <w:color w:val="auto"/>
          <w:lang w:val="en-US" w:eastAsia="zh-CN"/>
        </w:rPr>
        <w:fldChar w:fldCharType="end"/>
      </w:r>
    </w:p>
    <w:p>
      <w:pPr>
        <w:pStyle w:val="10"/>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_Toc3441 </w:instrText>
      </w:r>
      <w:r>
        <w:rPr>
          <w:rFonts w:hint="eastAsia"/>
          <w:color w:val="auto"/>
          <w:lang w:val="en-US" w:eastAsia="zh-CN"/>
        </w:rPr>
        <w:fldChar w:fldCharType="separate"/>
      </w:r>
      <w:r>
        <w:rPr>
          <w:rFonts w:hint="eastAsia"/>
          <w:color w:val="auto"/>
          <w:lang w:val="en-US" w:eastAsia="zh-CN"/>
        </w:rPr>
        <w:t>7.2 建议</w:t>
      </w:r>
      <w:r>
        <w:rPr>
          <w:color w:val="auto"/>
        </w:rPr>
        <w:tab/>
      </w:r>
      <w:r>
        <w:rPr>
          <w:color w:val="auto"/>
        </w:rPr>
        <w:fldChar w:fldCharType="begin"/>
      </w:r>
      <w:r>
        <w:rPr>
          <w:color w:val="auto"/>
        </w:rPr>
        <w:instrText xml:space="preserve"> PAGEREF _Toc3441 \h </w:instrText>
      </w:r>
      <w:r>
        <w:rPr>
          <w:color w:val="auto"/>
        </w:rPr>
        <w:fldChar w:fldCharType="separate"/>
      </w:r>
      <w:r>
        <w:rPr>
          <w:color w:val="auto"/>
        </w:rPr>
        <w:t>173</w:t>
      </w:r>
      <w:r>
        <w:rPr>
          <w:color w:val="auto"/>
        </w:rPr>
        <w:fldChar w:fldCharType="end"/>
      </w:r>
      <w:r>
        <w:rPr>
          <w:rFonts w:hint="eastAsia"/>
          <w:color w:val="auto"/>
          <w:lang w:val="en-US" w:eastAsia="zh-CN"/>
        </w:rPr>
        <w:fldChar w:fldCharType="end"/>
      </w:r>
    </w:p>
    <w:p>
      <w:pPr>
        <w:bidi w:val="0"/>
        <w:rPr>
          <w:rFonts w:hint="eastAsia"/>
          <w:color w:val="auto"/>
          <w:lang w:val="en-US" w:eastAsia="zh-CN"/>
        </w:rPr>
      </w:pPr>
      <w:r>
        <w:rPr>
          <w:rFonts w:hint="eastAsia"/>
          <w:color w:val="auto"/>
          <w:lang w:val="en-US" w:eastAsia="zh-CN"/>
        </w:rPr>
        <w:fldChar w:fldCharType="end"/>
      </w:r>
    </w:p>
    <w:p>
      <w:pPr>
        <w:bidi w:val="0"/>
        <w:rPr>
          <w:rFonts w:hint="eastAsia"/>
          <w:color w:val="auto"/>
          <w:lang w:val="en-US" w:eastAsia="zh-CN"/>
        </w:rPr>
      </w:pPr>
    </w:p>
    <w:p>
      <w:pPr>
        <w:bidi w:val="0"/>
        <w:rPr>
          <w:rFonts w:hint="eastAsia"/>
          <w:color w:val="auto"/>
          <w:lang w:val="en-US" w:eastAsia="zh-CN"/>
        </w:rPr>
      </w:pPr>
    </w:p>
    <w:p>
      <w:pPr>
        <w:rPr>
          <w:rFonts w:hint="eastAsia"/>
          <w:color w:val="auto"/>
          <w:lang w:val="en-US" w:eastAsia="zh-CN"/>
        </w:rPr>
      </w:pPr>
      <w:r>
        <w:rPr>
          <w:rFonts w:hint="eastAsia"/>
          <w:color w:val="auto"/>
          <w:lang w:val="en-US" w:eastAsia="zh-CN"/>
        </w:rPr>
        <w:br w:type="page"/>
      </w:r>
    </w:p>
    <w:p>
      <w:pPr>
        <w:pStyle w:val="2"/>
        <w:bidi w:val="0"/>
        <w:rPr>
          <w:rFonts w:hint="eastAsia"/>
          <w:color w:val="auto"/>
          <w:lang w:val="en-US" w:eastAsia="zh-CN"/>
        </w:rPr>
      </w:pPr>
      <w:bookmarkStart w:id="0" w:name="_Toc25408"/>
      <w:r>
        <w:rPr>
          <w:rFonts w:hint="eastAsia"/>
          <w:color w:val="auto"/>
          <w:lang w:val="en-US" w:eastAsia="zh-CN"/>
        </w:rPr>
        <w:t>第一章 总论</w:t>
      </w:r>
      <w:bookmarkEnd w:id="0"/>
    </w:p>
    <w:p>
      <w:pPr>
        <w:pStyle w:val="3"/>
        <w:bidi w:val="0"/>
        <w:rPr>
          <w:rFonts w:hint="eastAsia"/>
          <w:color w:val="auto"/>
          <w:lang w:val="en-US" w:eastAsia="zh-CN"/>
        </w:rPr>
      </w:pPr>
      <w:bookmarkStart w:id="1" w:name="_Toc1038"/>
      <w:r>
        <w:rPr>
          <w:rFonts w:hint="eastAsia"/>
          <w:color w:val="auto"/>
          <w:lang w:val="en-US" w:eastAsia="zh-CN"/>
        </w:rPr>
        <w:t>1.1 项目背景</w:t>
      </w:r>
      <w:bookmarkEnd w:id="1"/>
    </w:p>
    <w:p>
      <w:pPr>
        <w:rPr>
          <w:rFonts w:hint="eastAsia"/>
          <w:color w:val="auto"/>
          <w:lang w:val="en-US" w:eastAsia="zh-CN"/>
        </w:rPr>
      </w:pPr>
      <w:r>
        <w:rPr>
          <w:rFonts w:hint="eastAsia"/>
          <w:color w:val="auto"/>
          <w:lang w:val="en-US" w:eastAsia="zh-CN"/>
        </w:rPr>
        <w:t>为认真贯彻落实党中央、国务院重大决策部署，大力推动节能减排，深入打好污染防治攻坚战，加快建立健全绿色低碳循环发展经济体系，推进经济社会发展全面绿色转型，助力实现碳达峰、碳中和目标，国务院印发《“十四五”节能减排综合工作方案》中指出：“以习近平新时代中国特色社会主义思想为指导，全面贯彻党的十九大和十九届历次全会精神，深入贯彻习近平生态文明思想，坚持稳中求进工作总基调，立足新发展阶段，完整、准确、全面贯彻新发展理念，构建新发展格局，推动高质量发展，完善实施能源消费强度和总量双控（以下称能耗双控）、主要污染物排放总量控制制度，组织实施节能减排重点工程，进一步健全节能减排政策机制，推动能源利用效率大幅提高、主要污染物排放总量持续减少，实现节能降碳减污协同增效、生态环境质量持续改善，确保完成“十四五”节能减排目标，为实现碳达峰、碳中和目标奠定坚实基础”。</w:t>
      </w:r>
    </w:p>
    <w:p>
      <w:pPr>
        <w:rPr>
          <w:rFonts w:hint="eastAsia"/>
          <w:color w:val="auto"/>
          <w:lang w:val="en-US" w:eastAsia="zh-CN"/>
        </w:rPr>
      </w:pPr>
      <w:r>
        <w:rPr>
          <w:rFonts w:hint="eastAsia"/>
          <w:color w:val="auto"/>
          <w:lang w:val="en-US" w:eastAsia="zh-CN"/>
        </w:rPr>
        <w:t>习近平总书记2021年2月份在贵州考察时提出：“在新时代西部大开发上闯新路，在乡村振兴上开新局，在实施数字经济战略上抢新机，在生态文明建设上出新绩”，“优良生态环境是贵州最大的发展优势和竞争优势，不断做好绿水青山就是金山银山这篇大文章”，结合习近平</w:t>
      </w:r>
      <w:bookmarkStart w:id="65" w:name="_GoBack"/>
      <w:bookmarkEnd w:id="65"/>
      <w:r>
        <w:rPr>
          <w:rFonts w:hint="eastAsia"/>
          <w:color w:val="auto"/>
          <w:lang w:val="en-US" w:eastAsia="zh-CN"/>
        </w:rPr>
        <w:t>总书记提出的2030年实现碳达峰，2060年实现碳中和的目标，具体到地方，就是要以节能降耗，绿色低碳作为企业发展主线，提高能源利用效率，降低碳排放量。</w:t>
      </w:r>
    </w:p>
    <w:p>
      <w:pPr>
        <w:rPr>
          <w:rFonts w:hint="eastAsia"/>
          <w:color w:val="auto"/>
          <w:lang w:val="en-US" w:eastAsia="zh-CN"/>
        </w:rPr>
      </w:pPr>
      <w:r>
        <w:rPr>
          <w:rFonts w:hint="eastAsia"/>
          <w:color w:val="auto"/>
          <w:lang w:val="en-US" w:eastAsia="zh-CN"/>
        </w:rPr>
        <w:t>近日，中共中央政治局就努力实现碳达峰碳中和目标进行第三十六次集体学习，习近平总书记强调把系统观念贯穿“双碳”工作全过程，提出要进一步完善能耗“双控”制度，新增可再生能源和原料用能不纳入能源消费总量控制；要健全“双碳”标准，构建统一规范的碳排放统计核算体系，推动能源“双控”向碳排放总量和强度“双控”转变。节能技术的推广应用，更是推动绿色发展和生态文明建设的重要支撑，也是提高全社会能源利用效率，实现能源总量和强度“双控”目标的重要手段。</w:t>
      </w:r>
    </w:p>
    <w:p>
      <w:pPr>
        <w:pStyle w:val="3"/>
        <w:bidi w:val="0"/>
        <w:rPr>
          <w:rFonts w:hint="eastAsia"/>
          <w:color w:val="auto"/>
          <w:lang w:val="en-US" w:eastAsia="zh-CN"/>
        </w:rPr>
      </w:pPr>
      <w:bookmarkStart w:id="2" w:name="_Toc5930"/>
      <w:r>
        <w:rPr>
          <w:rFonts w:hint="eastAsia"/>
          <w:color w:val="auto"/>
          <w:lang w:val="en-US" w:eastAsia="zh-CN"/>
        </w:rPr>
        <w:t>1.2 区域界定</w:t>
      </w:r>
      <w:bookmarkEnd w:id="2"/>
    </w:p>
    <w:p>
      <w:pPr>
        <w:rPr>
          <w:rFonts w:hint="eastAsia"/>
          <w:color w:val="auto"/>
          <w:lang w:val="en-US" w:eastAsia="zh-CN"/>
        </w:rPr>
      </w:pPr>
      <w:r>
        <w:rPr>
          <w:rFonts w:hint="eastAsia"/>
          <w:color w:val="auto"/>
          <w:lang w:val="en-US" w:eastAsia="zh-CN"/>
        </w:rPr>
        <w:t>本次区域节能报告的范围是贵州开阳经济开发区（开阳县工业园区）（以下简称开发区），开发区规划红线区总用地面积100.04平方公里，主要包括工业园区、龙岗富硒产业园两个部分，其中工业园区包括金中大水、永温大坝、永温乡山、经开核心、双流茶场、双流陶家坝6个组团。由三个区域构成：</w:t>
      </w:r>
    </w:p>
    <w:p>
      <w:pPr>
        <w:rPr>
          <w:rFonts w:hint="default"/>
          <w:color w:val="auto"/>
          <w:lang w:val="en-US" w:eastAsia="zh-CN"/>
        </w:rPr>
      </w:pPr>
      <w:r>
        <w:rPr>
          <w:rFonts w:hint="eastAsia"/>
          <w:color w:val="auto"/>
          <w:lang w:val="en-US" w:eastAsia="zh-CN"/>
        </w:rPr>
        <w:t>核心区域：核心区域包括经开核心、永温大坝、双流茶场、双流陶家坝4个组团，占地面积约81.53平方公里，东至那卡河，南至久永铁路，西、北抵贵遵高速复线和354国道；</w:t>
      </w:r>
    </w:p>
    <w:p>
      <w:pPr>
        <w:rPr>
          <w:rFonts w:hint="eastAsia"/>
          <w:color w:val="auto"/>
          <w:lang w:val="en-US" w:eastAsia="zh-CN"/>
        </w:rPr>
      </w:pPr>
      <w:r>
        <w:rPr>
          <w:rFonts w:hint="eastAsia"/>
          <w:color w:val="auto"/>
          <w:lang w:val="en-US" w:eastAsia="zh-CN"/>
        </w:rPr>
        <w:t>金中区域：占地面积约7.43平方公里，沿洋水河分布；</w:t>
      </w:r>
    </w:p>
    <w:p>
      <w:pPr>
        <w:rPr>
          <w:rFonts w:hint="eastAsia"/>
          <w:color w:val="auto"/>
          <w:lang w:val="en-US" w:eastAsia="zh-CN"/>
        </w:rPr>
      </w:pPr>
      <w:r>
        <w:rPr>
          <w:rFonts w:hint="eastAsia"/>
          <w:color w:val="auto"/>
          <w:lang w:val="en-US" w:eastAsia="zh-CN"/>
        </w:rPr>
        <w:t>大坝区域：占地面积约4.94平方公里，南至息开高速，东至马鞍山，北至洞口，西至洋水河；</w:t>
      </w:r>
    </w:p>
    <w:p>
      <w:pPr>
        <w:rPr>
          <w:rFonts w:hint="eastAsia"/>
          <w:color w:val="auto"/>
          <w:lang w:val="en-US" w:eastAsia="zh-CN"/>
        </w:rPr>
      </w:pPr>
      <w:r>
        <w:rPr>
          <w:rFonts w:hint="eastAsia"/>
          <w:color w:val="auto"/>
          <w:lang w:val="en-US" w:eastAsia="zh-CN"/>
        </w:rPr>
        <w:t>龙岗富硒产业园主要由龙岗镇镇区组成，占地面积约6.14平方公里。</w:t>
      </w:r>
    </w:p>
    <w:p>
      <w:pPr>
        <w:bidi w:val="0"/>
        <w:rPr>
          <w:rFonts w:hint="eastAsia"/>
          <w:color w:val="auto"/>
          <w:lang w:val="en-US" w:eastAsia="zh-CN"/>
        </w:rPr>
      </w:pPr>
      <w:r>
        <w:rPr>
          <w:rFonts w:hint="eastAsia"/>
          <w:color w:val="auto"/>
          <w:lang w:val="en-US" w:eastAsia="zh-CN"/>
        </w:rPr>
        <w:t>工业园区规划红线区内面积9390hm</w:t>
      </w:r>
      <w:r>
        <w:rPr>
          <w:rFonts w:hint="eastAsia"/>
          <w:color w:val="auto"/>
          <w:vertAlign w:val="superscript"/>
          <w:lang w:val="en-US" w:eastAsia="zh-CN"/>
        </w:rPr>
        <w:t>2</w:t>
      </w:r>
      <w:r>
        <w:rPr>
          <w:rFonts w:hint="eastAsia"/>
          <w:color w:val="auto"/>
          <w:lang w:val="en-US" w:eastAsia="zh-CN"/>
        </w:rPr>
        <w:t>，现状用地以林地和耕地为主，其中林地面积3361.99hm</w:t>
      </w:r>
      <w:r>
        <w:rPr>
          <w:rFonts w:hint="eastAsia"/>
          <w:color w:val="auto"/>
          <w:vertAlign w:val="superscript"/>
          <w:lang w:val="en-US" w:eastAsia="zh-CN"/>
        </w:rPr>
        <w:t>2</w:t>
      </w:r>
      <w:r>
        <w:rPr>
          <w:rFonts w:hint="eastAsia"/>
          <w:color w:val="auto"/>
          <w:lang w:val="en-US" w:eastAsia="zh-CN"/>
        </w:rPr>
        <w:t>，占35.79％；耕地面积2895.52hm</w:t>
      </w:r>
      <w:r>
        <w:rPr>
          <w:rFonts w:hint="eastAsia"/>
          <w:color w:val="auto"/>
          <w:vertAlign w:val="superscript"/>
          <w:lang w:val="en-US" w:eastAsia="zh-CN"/>
        </w:rPr>
        <w:t>2</w:t>
      </w:r>
      <w:r>
        <w:rPr>
          <w:rFonts w:hint="eastAsia"/>
          <w:color w:val="auto"/>
          <w:lang w:val="en-US" w:eastAsia="zh-CN"/>
        </w:rPr>
        <w:t>，占30.83％；现状建设用地面积1247.23hm</w:t>
      </w:r>
      <w:r>
        <w:rPr>
          <w:rFonts w:hint="eastAsia"/>
          <w:color w:val="auto"/>
          <w:vertAlign w:val="superscript"/>
          <w:lang w:val="en-US" w:eastAsia="zh-CN"/>
        </w:rPr>
        <w:t>2</w:t>
      </w:r>
      <w:r>
        <w:rPr>
          <w:rFonts w:hint="eastAsia"/>
          <w:color w:val="auto"/>
          <w:lang w:val="en-US" w:eastAsia="zh-CN"/>
        </w:rPr>
        <w:t>，占13.28%</w:t>
      </w:r>
      <w:r>
        <w:rPr>
          <w:rFonts w:hint="eastAsia"/>
          <w:color w:val="auto"/>
          <w:highlight w:val="none"/>
          <w:lang w:val="en-US" w:eastAsia="zh-CN"/>
        </w:rPr>
        <w:t>。</w:t>
      </w:r>
      <w:r>
        <w:rPr>
          <w:rFonts w:hint="eastAsia"/>
          <w:color w:val="auto"/>
          <w:lang w:val="en-US" w:eastAsia="zh-CN"/>
        </w:rPr>
        <w:t>规划区现状总人口约7.57万人。</w:t>
      </w:r>
    </w:p>
    <w:p>
      <w:pPr>
        <w:rPr>
          <w:rFonts w:hint="eastAsia"/>
          <w:color w:val="auto"/>
          <w:lang w:val="en-US" w:eastAsia="zh-CN"/>
        </w:rPr>
      </w:pPr>
      <w:r>
        <w:rPr>
          <w:rFonts w:hint="eastAsia"/>
          <w:color w:val="auto"/>
          <w:lang w:val="en-US" w:eastAsia="zh-CN"/>
        </w:rPr>
        <w:t>开阳县十四五总体要求——围绕“经济强、百姓富、生态美”，聚焦乡村大振兴、产业大集聚、通道大建设“三大任务”，构筑港城区、经开区、加工区“三大引擎”，推动以现代化工为主导的新型工业化、以生态宜居为品质的新型城镇化、以富硒特色为品牌的农业现代化、以康养体验为引领的旅游产业化“四化同步”，努力实现与开阳区位优势相匹配、与资源禀赋相对等、与贵阳贵安大能级城市相适应的经济社会高质量发展。</w:t>
      </w:r>
    </w:p>
    <w:p>
      <w:pPr>
        <w:ind w:left="0" w:leftChars="0" w:firstLine="0" w:firstLineChars="0"/>
        <w:jc w:val="center"/>
        <w:rPr>
          <w:color w:val="auto"/>
        </w:rPr>
      </w:pPr>
      <w:r>
        <w:rPr>
          <w:color w:val="auto"/>
        </w:rPr>
        <w:drawing>
          <wp:inline distT="0" distB="0" distL="114300" distR="114300">
            <wp:extent cx="3781425" cy="5731510"/>
            <wp:effectExtent l="0" t="0" r="13335" b="139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3781425" cy="5731510"/>
                    </a:xfrm>
                    <a:prstGeom prst="rect">
                      <a:avLst/>
                    </a:prstGeom>
                    <a:noFill/>
                    <a:ln>
                      <a:noFill/>
                    </a:ln>
                  </pic:spPr>
                </pic:pic>
              </a:graphicData>
            </a:graphic>
          </wp:inline>
        </w:drawing>
      </w:r>
    </w:p>
    <w:p>
      <w:pPr>
        <w:ind w:left="0" w:leftChars="0" w:firstLine="0" w:firstLineChars="0"/>
        <w:jc w:val="center"/>
        <w:rPr>
          <w:rFonts w:hint="eastAsia"/>
          <w:color w:val="auto"/>
          <w:lang w:val="en-US" w:eastAsia="zh-CN"/>
        </w:rPr>
      </w:pPr>
      <w:r>
        <w:rPr>
          <w:rFonts w:hint="eastAsia"/>
          <w:color w:val="auto"/>
          <w:lang w:val="en-US" w:eastAsia="zh-CN"/>
        </w:rPr>
        <w:t>图1-1 工业园区边界范围图</w:t>
      </w:r>
    </w:p>
    <w:p>
      <w:pPr>
        <w:ind w:left="0" w:leftChars="0" w:firstLine="0" w:firstLineChars="0"/>
        <w:rPr>
          <w:color w:val="auto"/>
        </w:rPr>
      </w:pPr>
      <w:r>
        <w:rPr>
          <w:color w:val="auto"/>
        </w:rPr>
        <w:drawing>
          <wp:inline distT="0" distB="0" distL="114300" distR="114300">
            <wp:extent cx="5272405" cy="4142105"/>
            <wp:effectExtent l="0" t="0" r="635" b="317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8"/>
                    <a:stretch>
                      <a:fillRect/>
                    </a:stretch>
                  </pic:blipFill>
                  <pic:spPr>
                    <a:xfrm>
                      <a:off x="0" y="0"/>
                      <a:ext cx="5272405" cy="4142105"/>
                    </a:xfrm>
                    <a:prstGeom prst="rect">
                      <a:avLst/>
                    </a:prstGeom>
                    <a:noFill/>
                    <a:ln>
                      <a:noFill/>
                    </a:ln>
                  </pic:spPr>
                </pic:pic>
              </a:graphicData>
            </a:graphic>
          </wp:inline>
        </w:drawing>
      </w:r>
    </w:p>
    <w:p>
      <w:pPr>
        <w:ind w:left="0" w:leftChars="0" w:firstLine="0" w:firstLineChars="0"/>
        <w:jc w:val="center"/>
        <w:rPr>
          <w:rFonts w:hint="eastAsia"/>
          <w:color w:val="auto"/>
          <w:lang w:val="en-US" w:eastAsia="zh-CN"/>
        </w:rPr>
      </w:pPr>
      <w:r>
        <w:rPr>
          <w:rFonts w:hint="eastAsia"/>
          <w:color w:val="auto"/>
          <w:lang w:val="en-US" w:eastAsia="zh-CN"/>
        </w:rPr>
        <w:t>图1-2 工业园区规划结构与功能分区图</w:t>
      </w:r>
    </w:p>
    <w:p>
      <w:pPr>
        <w:rPr>
          <w:rFonts w:hint="eastAsia"/>
          <w:color w:val="auto"/>
          <w:lang w:val="en-US" w:eastAsia="zh-CN"/>
        </w:rPr>
      </w:pPr>
    </w:p>
    <w:p>
      <w:pPr>
        <w:pStyle w:val="3"/>
        <w:bidi w:val="0"/>
        <w:rPr>
          <w:rFonts w:hint="eastAsia"/>
          <w:color w:val="auto"/>
          <w:lang w:val="en-US" w:eastAsia="zh-CN"/>
        </w:rPr>
      </w:pPr>
      <w:bookmarkStart w:id="3" w:name="_Toc28852"/>
      <w:r>
        <w:rPr>
          <w:rFonts w:hint="eastAsia"/>
          <w:color w:val="auto"/>
          <w:lang w:val="en-US" w:eastAsia="zh-CN"/>
        </w:rPr>
        <w:t>1.3 编制依据</w:t>
      </w:r>
      <w:bookmarkEnd w:id="3"/>
    </w:p>
    <w:p>
      <w:pPr>
        <w:pStyle w:val="4"/>
        <w:bidi w:val="0"/>
        <w:rPr>
          <w:rFonts w:hint="eastAsia"/>
          <w:color w:val="auto"/>
          <w:lang w:val="en-US" w:eastAsia="zh-CN"/>
        </w:rPr>
      </w:pPr>
      <w:bookmarkStart w:id="4" w:name="_Toc4396"/>
      <w:r>
        <w:rPr>
          <w:rFonts w:hint="eastAsia"/>
          <w:color w:val="auto"/>
          <w:lang w:val="en-US" w:eastAsia="zh-CN"/>
        </w:rPr>
        <w:t>1.3.1法律法规、规划及产业政策、行业准入条件</w:t>
      </w:r>
      <w:bookmarkEnd w:id="4"/>
    </w:p>
    <w:p>
      <w:pPr>
        <w:rPr>
          <w:rFonts w:hint="eastAsia"/>
          <w:color w:val="auto"/>
          <w:lang w:val="en-US" w:eastAsia="zh-CN"/>
        </w:rPr>
      </w:pPr>
      <w:r>
        <w:rPr>
          <w:rFonts w:hint="eastAsia"/>
          <w:color w:val="auto"/>
          <w:lang w:val="en-US" w:eastAsia="zh-CN"/>
        </w:rPr>
        <w:t>1、《中华人民共和国节约能源法》（中华人民共和国主席令2016年第48号）；</w:t>
      </w:r>
    </w:p>
    <w:p>
      <w:pPr>
        <w:rPr>
          <w:rFonts w:hint="eastAsia"/>
          <w:color w:val="auto"/>
          <w:lang w:val="en-US" w:eastAsia="zh-CN"/>
        </w:rPr>
      </w:pPr>
      <w:r>
        <w:rPr>
          <w:rFonts w:hint="eastAsia"/>
          <w:color w:val="auto"/>
          <w:lang w:val="en-US" w:eastAsia="zh-CN"/>
        </w:rPr>
        <w:t>2、《中华人民共和国建筑法》（第十三届全国人民代表大会常务委员会第十次会议，2019年修正）；</w:t>
      </w:r>
    </w:p>
    <w:p>
      <w:pPr>
        <w:rPr>
          <w:rFonts w:hint="eastAsia"/>
          <w:color w:val="auto"/>
          <w:lang w:val="en-US" w:eastAsia="zh-CN"/>
        </w:rPr>
      </w:pPr>
      <w:r>
        <w:rPr>
          <w:rFonts w:hint="eastAsia"/>
          <w:color w:val="auto"/>
          <w:lang w:val="en-US" w:eastAsia="zh-CN"/>
        </w:rPr>
        <w:t>3、《中华人民共和国电力法》（第十三届全国人民代表大会常务委员会第七次会议，2018年修正））；</w:t>
      </w:r>
    </w:p>
    <w:p>
      <w:pPr>
        <w:rPr>
          <w:rFonts w:hint="eastAsia"/>
          <w:color w:val="auto"/>
          <w:lang w:val="en-US" w:eastAsia="zh-CN"/>
        </w:rPr>
      </w:pPr>
      <w:r>
        <w:rPr>
          <w:rFonts w:hint="eastAsia"/>
          <w:color w:val="auto"/>
          <w:lang w:val="en-US" w:eastAsia="zh-CN"/>
        </w:rPr>
        <w:t>4、《中华人民共和国可再生能源法》（由中华人民共和国第十一届全国人民代表大会常务委员会第十二次会议，2009年修正）；</w:t>
      </w:r>
    </w:p>
    <w:p>
      <w:pPr>
        <w:rPr>
          <w:rFonts w:hint="eastAsia"/>
          <w:color w:val="auto"/>
          <w:lang w:val="en-US" w:eastAsia="zh-CN"/>
        </w:rPr>
      </w:pPr>
      <w:r>
        <w:rPr>
          <w:rFonts w:hint="eastAsia"/>
          <w:color w:val="auto"/>
          <w:lang w:val="en-US" w:eastAsia="zh-CN"/>
        </w:rPr>
        <w:t>5、《国务院关于加强节能工作的决定》（国发〔2006〕28号）；</w:t>
      </w:r>
    </w:p>
    <w:p>
      <w:pPr>
        <w:rPr>
          <w:rFonts w:hint="eastAsia"/>
          <w:color w:val="auto"/>
          <w:lang w:val="en-US" w:eastAsia="zh-CN"/>
        </w:rPr>
      </w:pPr>
      <w:r>
        <w:rPr>
          <w:rFonts w:hint="eastAsia"/>
          <w:color w:val="auto"/>
          <w:lang w:val="en-US" w:eastAsia="zh-CN"/>
        </w:rPr>
        <w:t>6、《中华人民共和国清洁生产促进法》（2016年5月修订版）；</w:t>
      </w:r>
    </w:p>
    <w:p>
      <w:pPr>
        <w:rPr>
          <w:rFonts w:hint="eastAsia"/>
          <w:color w:val="auto"/>
          <w:lang w:val="en-US" w:eastAsia="zh-CN"/>
        </w:rPr>
      </w:pPr>
      <w:r>
        <w:rPr>
          <w:rFonts w:hint="eastAsia"/>
          <w:color w:val="auto"/>
          <w:lang w:val="en-US" w:eastAsia="zh-CN"/>
        </w:rPr>
        <w:t>7、《国务院办公厅关于开展工程建设项目审批制度改革试点的通知》（国办发〔2018〕33号）；</w:t>
      </w:r>
    </w:p>
    <w:p>
      <w:pPr>
        <w:rPr>
          <w:rFonts w:hint="eastAsia"/>
          <w:color w:val="auto"/>
          <w:lang w:val="en-US" w:eastAsia="zh-CN"/>
        </w:rPr>
      </w:pPr>
      <w:r>
        <w:rPr>
          <w:rFonts w:hint="eastAsia"/>
          <w:color w:val="auto"/>
          <w:lang w:val="en-US" w:eastAsia="zh-CN"/>
        </w:rPr>
        <w:t>8、《重点用能单位节能管理办法》（国家发展改革委令2018年第15号）；</w:t>
      </w:r>
    </w:p>
    <w:p>
      <w:pPr>
        <w:rPr>
          <w:rFonts w:hint="eastAsia"/>
          <w:color w:val="auto"/>
          <w:lang w:val="en-US" w:eastAsia="zh-CN"/>
        </w:rPr>
      </w:pPr>
      <w:r>
        <w:rPr>
          <w:rFonts w:hint="eastAsia"/>
          <w:color w:val="auto"/>
          <w:lang w:val="en-US" w:eastAsia="zh-CN"/>
        </w:rPr>
        <w:t>9、《市场准入负面清单（2020年版）》（发改体改规〔2020〕1880号）；</w:t>
      </w:r>
    </w:p>
    <w:p>
      <w:pPr>
        <w:rPr>
          <w:rFonts w:hint="eastAsia"/>
          <w:color w:val="auto"/>
          <w:lang w:val="en-US" w:eastAsia="zh-CN"/>
        </w:rPr>
      </w:pPr>
      <w:r>
        <w:rPr>
          <w:rFonts w:hint="eastAsia"/>
          <w:color w:val="auto"/>
          <w:lang w:val="en-US" w:eastAsia="zh-CN"/>
        </w:rPr>
        <w:t>10、《贵州省节约能源条例》（2017年11月30日贵州省第十二届人民代表大会常务委员会第三十二次会议修订版）；</w:t>
      </w:r>
    </w:p>
    <w:p>
      <w:pPr>
        <w:rPr>
          <w:rFonts w:hint="eastAsia"/>
          <w:color w:val="auto"/>
          <w:lang w:val="en-US" w:eastAsia="zh-CN"/>
        </w:rPr>
      </w:pPr>
      <w:r>
        <w:rPr>
          <w:rFonts w:hint="eastAsia"/>
          <w:color w:val="auto"/>
          <w:lang w:val="en-US" w:eastAsia="zh-CN"/>
        </w:rPr>
        <w:t>11、《省人民政府关于发布政府核准的投资项目目录（贵州省2017年本）的通知》（黔府发〔2017〕14号）；</w:t>
      </w:r>
    </w:p>
    <w:p>
      <w:pPr>
        <w:rPr>
          <w:rFonts w:hint="eastAsia"/>
          <w:color w:val="auto"/>
          <w:lang w:val="en-US" w:eastAsia="zh-CN"/>
        </w:rPr>
      </w:pPr>
      <w:r>
        <w:rPr>
          <w:rFonts w:hint="eastAsia"/>
          <w:color w:val="auto"/>
          <w:lang w:val="en-US" w:eastAsia="zh-CN"/>
        </w:rPr>
        <w:t>12、《市人民政府关于印发贵阳市进一步深化工程建设项目审批制度改革工作实施方案的通知》（筑府发〔2019〕16号）；</w:t>
      </w:r>
    </w:p>
    <w:p>
      <w:pPr>
        <w:rPr>
          <w:rFonts w:hint="eastAsia"/>
          <w:color w:val="auto"/>
          <w:lang w:val="en-US" w:eastAsia="zh-CN"/>
        </w:rPr>
      </w:pPr>
      <w:r>
        <w:rPr>
          <w:rFonts w:hint="eastAsia"/>
          <w:color w:val="auto"/>
          <w:lang w:val="en-US" w:eastAsia="zh-CN"/>
        </w:rPr>
        <w:t>13、《省发展改革委关于进一步加强“十四五”时期用能管理的通知》（黔发改环资[2022]385号）；</w:t>
      </w:r>
    </w:p>
    <w:p>
      <w:pPr>
        <w:rPr>
          <w:rFonts w:hint="eastAsia"/>
          <w:color w:val="auto"/>
          <w:lang w:val="en-US" w:eastAsia="zh-CN"/>
        </w:rPr>
      </w:pPr>
      <w:r>
        <w:rPr>
          <w:rFonts w:hint="eastAsia"/>
          <w:color w:val="auto"/>
          <w:lang w:val="en-US" w:eastAsia="zh-CN"/>
        </w:rPr>
        <w:t>14、《贵阳市发展和改革委员会关于开展贵阳市固定资产投资项目节能审查制度改革试点工作的通知》；</w:t>
      </w:r>
    </w:p>
    <w:p>
      <w:pPr>
        <w:rPr>
          <w:rFonts w:hint="eastAsia"/>
          <w:color w:val="auto"/>
          <w:lang w:val="en-US" w:eastAsia="zh-CN"/>
        </w:rPr>
      </w:pPr>
      <w:r>
        <w:rPr>
          <w:rFonts w:hint="eastAsia"/>
          <w:color w:val="auto"/>
          <w:lang w:val="en-US" w:eastAsia="zh-CN"/>
        </w:rPr>
        <w:t>15、《市人民政府办公厅关于贵阳贵安开发区主导产业、特色产业定位及其细分领域的通知》（筑府办函〔2022〕2号）；</w:t>
      </w:r>
    </w:p>
    <w:p>
      <w:pPr>
        <w:rPr>
          <w:rFonts w:hint="eastAsia"/>
          <w:color w:val="auto"/>
          <w:lang w:val="en-US" w:eastAsia="zh-CN"/>
        </w:rPr>
      </w:pPr>
      <w:r>
        <w:rPr>
          <w:rFonts w:hint="eastAsia"/>
          <w:color w:val="auto"/>
          <w:lang w:val="en-US" w:eastAsia="zh-CN"/>
        </w:rPr>
        <w:t>16、《产业结构调整指导目录》（2019年本）。</w:t>
      </w:r>
    </w:p>
    <w:p>
      <w:pPr>
        <w:rPr>
          <w:rFonts w:hint="eastAsia"/>
          <w:color w:val="auto"/>
          <w:lang w:val="en-US" w:eastAsia="zh-CN"/>
        </w:rPr>
      </w:pPr>
      <w:r>
        <w:rPr>
          <w:rFonts w:hint="eastAsia"/>
          <w:color w:val="auto"/>
          <w:lang w:val="en-US" w:eastAsia="zh-CN"/>
        </w:rPr>
        <w:t>17、《观山湖区国民经济和社会发展第十四个五年规划和二Ο三五年远景目标纲要》</w:t>
      </w:r>
    </w:p>
    <w:p>
      <w:pPr>
        <w:rPr>
          <w:rFonts w:hint="eastAsia"/>
          <w:color w:val="auto"/>
          <w:lang w:val="en-US" w:eastAsia="zh-CN"/>
        </w:rPr>
      </w:pPr>
      <w:r>
        <w:rPr>
          <w:rFonts w:hint="eastAsia"/>
          <w:color w:val="auto"/>
          <w:lang w:val="en-US" w:eastAsia="zh-CN"/>
        </w:rPr>
        <w:t>18、《云岩区国民经济和社会发展第十四个五年 规划和二〇三五年远景目标纲要》</w:t>
      </w:r>
    </w:p>
    <w:p>
      <w:pPr>
        <w:rPr>
          <w:rFonts w:hint="eastAsia"/>
          <w:color w:val="auto"/>
          <w:lang w:val="en-US" w:eastAsia="zh-CN"/>
        </w:rPr>
      </w:pPr>
      <w:r>
        <w:rPr>
          <w:rFonts w:hint="eastAsia"/>
          <w:color w:val="auto"/>
          <w:lang w:val="en-US" w:eastAsia="zh-CN"/>
        </w:rPr>
        <w:t>19、《乌当区国民经济和社会发展第十四个五年规划和二〇三五年远景目标纲要》</w:t>
      </w:r>
    </w:p>
    <w:p>
      <w:pPr>
        <w:rPr>
          <w:rFonts w:hint="eastAsia"/>
          <w:color w:val="auto"/>
          <w:lang w:val="en-US" w:eastAsia="zh-CN"/>
        </w:rPr>
      </w:pPr>
      <w:r>
        <w:rPr>
          <w:rFonts w:hint="eastAsia"/>
          <w:color w:val="auto"/>
          <w:lang w:val="en-US" w:eastAsia="zh-CN"/>
        </w:rPr>
        <w:t>20、《白云区“十四五”时期主要目标任务和二〇三五年远景目标》</w:t>
      </w:r>
    </w:p>
    <w:p>
      <w:pPr>
        <w:rPr>
          <w:rFonts w:hint="eastAsia"/>
          <w:color w:val="auto"/>
          <w:lang w:val="en-US" w:eastAsia="zh-CN"/>
        </w:rPr>
      </w:pPr>
      <w:r>
        <w:rPr>
          <w:rFonts w:hint="eastAsia"/>
          <w:color w:val="auto"/>
          <w:lang w:val="en-US" w:eastAsia="zh-CN"/>
        </w:rPr>
        <w:t>21、《贵阳市南明区国民经济和社会发展第十四个五年规划和二〇三五年远景目标纲要》</w:t>
      </w:r>
    </w:p>
    <w:p>
      <w:pPr>
        <w:rPr>
          <w:rFonts w:hint="eastAsia"/>
          <w:color w:val="auto"/>
          <w:lang w:val="en-US" w:eastAsia="zh-CN"/>
        </w:rPr>
      </w:pPr>
      <w:r>
        <w:rPr>
          <w:rFonts w:hint="eastAsia"/>
          <w:color w:val="auto"/>
          <w:lang w:val="en-US" w:eastAsia="zh-CN"/>
        </w:rPr>
        <w:t>22、《花溪区国民经济和社会发展第十四个五年 规划和二〇三五年远景目标纲要》</w:t>
      </w:r>
    </w:p>
    <w:p>
      <w:pPr>
        <w:rPr>
          <w:rFonts w:hint="default"/>
          <w:color w:val="auto"/>
          <w:lang w:val="en-US" w:eastAsia="zh-CN"/>
        </w:rPr>
      </w:pPr>
      <w:r>
        <w:rPr>
          <w:rFonts w:hint="eastAsia"/>
          <w:color w:val="auto"/>
          <w:lang w:val="en-US" w:eastAsia="zh-CN"/>
        </w:rPr>
        <w:t>23、《清镇市国民经济和社会发展第十四个五年规划 和二〇三五年远景目标纲要》</w:t>
      </w:r>
    </w:p>
    <w:p>
      <w:pPr>
        <w:rPr>
          <w:rFonts w:hint="eastAsia"/>
          <w:color w:val="auto"/>
          <w:lang w:val="en-US" w:eastAsia="zh-CN"/>
        </w:rPr>
      </w:pPr>
      <w:r>
        <w:rPr>
          <w:rFonts w:hint="eastAsia"/>
          <w:color w:val="auto"/>
          <w:lang w:val="en-US" w:eastAsia="zh-CN"/>
        </w:rPr>
        <w:t>24、中共修文县委 修文县人民政府关于印发《修文县贯彻落实“强省会”五年行动工作方案的通知》</w:t>
      </w:r>
    </w:p>
    <w:p>
      <w:pPr>
        <w:rPr>
          <w:rFonts w:hint="eastAsia"/>
          <w:color w:val="auto"/>
          <w:lang w:val="en-US" w:eastAsia="zh-CN"/>
        </w:rPr>
      </w:pPr>
      <w:r>
        <w:rPr>
          <w:rFonts w:hint="eastAsia"/>
          <w:color w:val="auto"/>
          <w:lang w:val="en-US" w:eastAsia="zh-CN"/>
        </w:rPr>
        <w:t>25、《息烽县国民经济和社会发展第十四个五年规划和二O三五年远景目标纲要》</w:t>
      </w:r>
    </w:p>
    <w:p>
      <w:pPr>
        <w:rPr>
          <w:rFonts w:hint="default"/>
          <w:color w:val="auto"/>
          <w:lang w:val="en-US" w:eastAsia="zh-CN"/>
        </w:rPr>
      </w:pPr>
      <w:r>
        <w:rPr>
          <w:rFonts w:hint="eastAsia"/>
          <w:color w:val="auto"/>
          <w:lang w:val="en-US" w:eastAsia="zh-CN"/>
        </w:rPr>
        <w:t>26、《开阳县国民经济和社会发展第十四个五年规划和二〇三五年远景目标纲要》</w:t>
      </w:r>
    </w:p>
    <w:p>
      <w:pPr>
        <w:pStyle w:val="4"/>
        <w:bidi w:val="0"/>
        <w:rPr>
          <w:rFonts w:hint="eastAsia"/>
          <w:color w:val="auto"/>
          <w:lang w:val="en-US" w:eastAsia="zh-CN"/>
        </w:rPr>
      </w:pPr>
      <w:bookmarkStart w:id="5" w:name="_Toc14189"/>
      <w:r>
        <w:rPr>
          <w:rFonts w:hint="eastAsia"/>
          <w:color w:val="auto"/>
          <w:lang w:val="en-US" w:eastAsia="zh-CN"/>
        </w:rPr>
        <w:t>1.3.2 技术标准、规范</w:t>
      </w:r>
      <w:bookmarkEnd w:id="5"/>
    </w:p>
    <w:p>
      <w:pPr>
        <w:rPr>
          <w:rFonts w:hint="eastAsia"/>
          <w:color w:val="auto"/>
          <w:lang w:val="en-US" w:eastAsia="zh-CN"/>
        </w:rPr>
      </w:pPr>
      <w:r>
        <w:rPr>
          <w:rFonts w:hint="eastAsia"/>
          <w:color w:val="auto"/>
          <w:lang w:val="en-US" w:eastAsia="zh-CN"/>
        </w:rPr>
        <w:t>1、《综合能耗计算通则》（GB/T 2589-2020）；</w:t>
      </w:r>
    </w:p>
    <w:p>
      <w:pPr>
        <w:rPr>
          <w:rFonts w:hint="eastAsia"/>
          <w:color w:val="auto"/>
          <w:lang w:val="en-US" w:eastAsia="zh-CN"/>
        </w:rPr>
      </w:pPr>
      <w:r>
        <w:rPr>
          <w:rFonts w:hint="eastAsia"/>
          <w:color w:val="auto"/>
          <w:lang w:val="en-US" w:eastAsia="zh-CN"/>
        </w:rPr>
        <w:t>2、《企业能量平衡通则》（GB 3484-2009）；</w:t>
      </w:r>
    </w:p>
    <w:p>
      <w:pPr>
        <w:rPr>
          <w:rFonts w:hint="eastAsia"/>
          <w:color w:val="auto"/>
          <w:lang w:val="en-US" w:eastAsia="zh-CN"/>
        </w:rPr>
      </w:pPr>
      <w:r>
        <w:rPr>
          <w:rFonts w:hint="eastAsia"/>
          <w:color w:val="auto"/>
          <w:lang w:val="en-US" w:eastAsia="zh-CN"/>
        </w:rPr>
        <w:t>3、《国民经济行业分类》（GB/T 4754-2017）；</w:t>
      </w:r>
    </w:p>
    <w:p>
      <w:pPr>
        <w:rPr>
          <w:rFonts w:hint="eastAsia"/>
          <w:color w:val="auto"/>
          <w:lang w:val="en-US" w:eastAsia="zh-CN"/>
        </w:rPr>
      </w:pPr>
      <w:r>
        <w:rPr>
          <w:rFonts w:hint="eastAsia"/>
          <w:color w:val="auto"/>
          <w:lang w:val="en-US" w:eastAsia="zh-CN"/>
        </w:rPr>
        <w:t>4、《工业企业能源管理导则》（GB/T 15587-2008）；</w:t>
      </w:r>
    </w:p>
    <w:p>
      <w:pPr>
        <w:rPr>
          <w:rFonts w:hint="eastAsia"/>
          <w:color w:val="auto"/>
          <w:lang w:val="en-US" w:eastAsia="zh-CN"/>
        </w:rPr>
      </w:pPr>
      <w:r>
        <w:rPr>
          <w:rFonts w:hint="eastAsia"/>
          <w:color w:val="auto"/>
          <w:lang w:val="en-US" w:eastAsia="zh-CN"/>
        </w:rPr>
        <w:t>5、《用能单位能源计量器具配备与管理通则》（GB17167-2006）；</w:t>
      </w:r>
    </w:p>
    <w:p>
      <w:pPr>
        <w:rPr>
          <w:rFonts w:hint="eastAsia"/>
          <w:color w:val="auto"/>
          <w:lang w:val="en-US" w:eastAsia="zh-CN"/>
        </w:rPr>
      </w:pPr>
      <w:r>
        <w:rPr>
          <w:rFonts w:hint="eastAsia"/>
          <w:color w:val="auto"/>
          <w:lang w:val="en-US" w:eastAsia="zh-CN"/>
        </w:rPr>
        <w:t>6、《工业建筑节能设计统一标准》（GB 51245-2017）；</w:t>
      </w:r>
    </w:p>
    <w:p>
      <w:pPr>
        <w:rPr>
          <w:rFonts w:hint="eastAsia"/>
          <w:color w:val="auto"/>
          <w:lang w:val="en-US" w:eastAsia="zh-CN"/>
        </w:rPr>
      </w:pPr>
      <w:r>
        <w:rPr>
          <w:rFonts w:hint="eastAsia"/>
          <w:color w:val="auto"/>
          <w:lang w:val="en-US" w:eastAsia="zh-CN"/>
        </w:rPr>
        <w:t>7、《工业企业总平面设计规范》（GB 50187-2012）；</w:t>
      </w:r>
    </w:p>
    <w:p>
      <w:pPr>
        <w:rPr>
          <w:rFonts w:hint="eastAsia"/>
          <w:color w:val="auto"/>
          <w:lang w:val="en-US" w:eastAsia="zh-CN"/>
        </w:rPr>
      </w:pPr>
      <w:r>
        <w:rPr>
          <w:rFonts w:hint="eastAsia"/>
          <w:color w:val="auto"/>
          <w:lang w:val="en-US" w:eastAsia="zh-CN"/>
        </w:rPr>
        <w:t>8、《供配电系统设计规程》（GB 50052-2009）；</w:t>
      </w:r>
    </w:p>
    <w:p>
      <w:pPr>
        <w:rPr>
          <w:rFonts w:hint="eastAsia"/>
          <w:color w:val="auto"/>
          <w:lang w:val="en-US" w:eastAsia="zh-CN"/>
        </w:rPr>
      </w:pPr>
      <w:r>
        <w:rPr>
          <w:rFonts w:hint="eastAsia"/>
          <w:color w:val="auto"/>
          <w:lang w:val="en-US" w:eastAsia="zh-CN"/>
        </w:rPr>
        <w:t>9、《建筑给水排水设计标准》（GB 50015-2019）；</w:t>
      </w:r>
    </w:p>
    <w:p>
      <w:pPr>
        <w:rPr>
          <w:rFonts w:hint="eastAsia"/>
          <w:color w:val="auto"/>
          <w:lang w:val="en-US" w:eastAsia="zh-CN"/>
        </w:rPr>
      </w:pPr>
      <w:r>
        <w:rPr>
          <w:rFonts w:hint="eastAsia"/>
          <w:color w:val="auto"/>
          <w:lang w:val="en-US" w:eastAsia="zh-CN"/>
        </w:rPr>
        <w:t>10、《公共机构能耗定额》（DB 52-2021）；</w:t>
      </w:r>
    </w:p>
    <w:p>
      <w:pPr>
        <w:rPr>
          <w:rFonts w:hint="eastAsia"/>
          <w:color w:val="auto"/>
          <w:lang w:val="en-US" w:eastAsia="zh-CN"/>
        </w:rPr>
      </w:pPr>
      <w:r>
        <w:rPr>
          <w:rFonts w:hint="eastAsia"/>
          <w:color w:val="auto"/>
          <w:lang w:val="en-US" w:eastAsia="zh-CN"/>
        </w:rPr>
        <w:t>11、《工业循环水冷却设计规范》（GB/T 50102-2014）；</w:t>
      </w:r>
    </w:p>
    <w:p>
      <w:pPr>
        <w:rPr>
          <w:rFonts w:hint="eastAsia"/>
          <w:color w:val="auto"/>
          <w:lang w:val="en-US" w:eastAsia="zh-CN"/>
        </w:rPr>
      </w:pPr>
      <w:r>
        <w:rPr>
          <w:rFonts w:hint="eastAsia"/>
          <w:color w:val="auto"/>
          <w:lang w:val="en-US" w:eastAsia="zh-CN"/>
        </w:rPr>
        <w:t>12、《工业建筑供暖通风与空气调节设计规范》（GB50019-2015）；</w:t>
      </w:r>
    </w:p>
    <w:p>
      <w:pPr>
        <w:rPr>
          <w:rFonts w:hint="eastAsia"/>
          <w:color w:val="auto"/>
          <w:lang w:val="en-US" w:eastAsia="zh-CN"/>
        </w:rPr>
      </w:pPr>
      <w:r>
        <w:rPr>
          <w:rFonts w:hint="eastAsia"/>
          <w:color w:val="auto"/>
          <w:lang w:val="en-US" w:eastAsia="zh-CN"/>
        </w:rPr>
        <w:t>13、《建筑采光设计标准》（GB 50033-2013）；</w:t>
      </w:r>
    </w:p>
    <w:p>
      <w:pPr>
        <w:rPr>
          <w:rFonts w:hint="eastAsia"/>
          <w:color w:val="auto"/>
          <w:lang w:val="en-US" w:eastAsia="zh-CN"/>
        </w:rPr>
      </w:pPr>
      <w:r>
        <w:rPr>
          <w:rFonts w:hint="eastAsia"/>
          <w:color w:val="auto"/>
          <w:lang w:val="en-US" w:eastAsia="zh-CN"/>
        </w:rPr>
        <w:t>14、《建筑照明设计标准》（GB 50034-2013）；</w:t>
      </w:r>
    </w:p>
    <w:p>
      <w:pPr>
        <w:rPr>
          <w:rFonts w:hint="eastAsia"/>
          <w:color w:val="auto"/>
          <w:lang w:val="en-US" w:eastAsia="zh-CN"/>
        </w:rPr>
      </w:pPr>
      <w:r>
        <w:rPr>
          <w:rFonts w:hint="eastAsia"/>
          <w:color w:val="auto"/>
          <w:lang w:val="en-US" w:eastAsia="zh-CN"/>
        </w:rPr>
        <w:t>15、《民用建筑电气设计规范》（JGJ 16-2018）；</w:t>
      </w:r>
    </w:p>
    <w:p>
      <w:pPr>
        <w:rPr>
          <w:rFonts w:hint="eastAsia"/>
          <w:color w:val="auto"/>
          <w:lang w:val="en-US" w:eastAsia="zh-CN"/>
        </w:rPr>
      </w:pPr>
      <w:r>
        <w:rPr>
          <w:rFonts w:hint="eastAsia"/>
          <w:color w:val="auto"/>
          <w:lang w:val="en-US" w:eastAsia="zh-CN"/>
        </w:rPr>
        <w:t>16、《20kV及以下变电所设计规范》（GB 50053-2013）；</w:t>
      </w:r>
    </w:p>
    <w:p>
      <w:pPr>
        <w:rPr>
          <w:rFonts w:hint="eastAsia"/>
          <w:color w:val="auto"/>
          <w:lang w:val="en-US" w:eastAsia="zh-CN"/>
        </w:rPr>
      </w:pPr>
      <w:r>
        <w:rPr>
          <w:rFonts w:hint="eastAsia"/>
          <w:color w:val="auto"/>
          <w:lang w:val="en-US" w:eastAsia="zh-CN"/>
        </w:rPr>
        <w:t>17、《低压配电设计规范》（GB 50054-2019）；</w:t>
      </w:r>
    </w:p>
    <w:p>
      <w:pPr>
        <w:rPr>
          <w:rFonts w:hint="eastAsia"/>
          <w:color w:val="auto"/>
          <w:lang w:val="en-US" w:eastAsia="zh-CN"/>
        </w:rPr>
      </w:pPr>
      <w:r>
        <w:rPr>
          <w:rFonts w:hint="eastAsia"/>
          <w:color w:val="auto"/>
          <w:lang w:val="en-US" w:eastAsia="zh-CN"/>
        </w:rPr>
        <w:t>18、《通用用电设备配电设计规范》（GB 50055-2011）；</w:t>
      </w:r>
    </w:p>
    <w:p>
      <w:pPr>
        <w:rPr>
          <w:rFonts w:hint="eastAsia"/>
          <w:color w:val="auto"/>
          <w:lang w:val="en-US" w:eastAsia="zh-CN"/>
        </w:rPr>
      </w:pPr>
      <w:r>
        <w:rPr>
          <w:rFonts w:hint="eastAsia"/>
          <w:color w:val="auto"/>
          <w:lang w:val="en-US" w:eastAsia="zh-CN"/>
        </w:rPr>
        <w:t>19、《评价企业合理用电技术导则》（GB/T 3485-1998）；</w:t>
      </w:r>
    </w:p>
    <w:p>
      <w:pPr>
        <w:rPr>
          <w:rFonts w:hint="eastAsia"/>
          <w:color w:val="auto"/>
          <w:lang w:val="en-US" w:eastAsia="zh-CN"/>
        </w:rPr>
      </w:pPr>
      <w:r>
        <w:rPr>
          <w:rFonts w:hint="eastAsia"/>
          <w:color w:val="auto"/>
          <w:lang w:val="en-US" w:eastAsia="zh-CN"/>
        </w:rPr>
        <w:t>20、《评价企业合理用热技术导则》（GB/T 3486-1993）；</w:t>
      </w:r>
    </w:p>
    <w:p>
      <w:pPr>
        <w:rPr>
          <w:rFonts w:hint="eastAsia"/>
          <w:color w:val="auto"/>
          <w:lang w:val="en-US" w:eastAsia="zh-CN"/>
        </w:rPr>
      </w:pPr>
      <w:r>
        <w:rPr>
          <w:rFonts w:hint="eastAsia"/>
          <w:color w:val="auto"/>
          <w:lang w:val="en-US" w:eastAsia="zh-CN"/>
        </w:rPr>
        <w:t>21、《企业供配电系统节能监测方法》（GB/T 16664-1996）；</w:t>
      </w:r>
    </w:p>
    <w:p>
      <w:pPr>
        <w:rPr>
          <w:rFonts w:hint="eastAsia"/>
          <w:color w:val="auto"/>
          <w:lang w:val="en-US" w:eastAsia="zh-CN"/>
        </w:rPr>
      </w:pPr>
      <w:r>
        <w:rPr>
          <w:rFonts w:hint="eastAsia"/>
          <w:color w:val="auto"/>
          <w:lang w:val="en-US" w:eastAsia="zh-CN"/>
        </w:rPr>
        <w:t>22、《储水式电热水器能效限定值及能效等级标准》（GB 21519-2008）；</w:t>
      </w:r>
    </w:p>
    <w:p>
      <w:pPr>
        <w:rPr>
          <w:rFonts w:hint="eastAsia"/>
          <w:color w:val="auto"/>
          <w:lang w:val="en-US" w:eastAsia="zh-CN"/>
        </w:rPr>
      </w:pPr>
      <w:r>
        <w:rPr>
          <w:rFonts w:hint="eastAsia"/>
          <w:color w:val="auto"/>
          <w:lang w:val="en-US" w:eastAsia="zh-CN"/>
        </w:rPr>
        <w:t>23、《热泵热水机（器）能效限定值及能效等级》（GB29541-2013）；</w:t>
      </w:r>
    </w:p>
    <w:p>
      <w:pPr>
        <w:rPr>
          <w:rFonts w:hint="eastAsia"/>
          <w:color w:val="auto"/>
          <w:lang w:val="en-US" w:eastAsia="zh-CN"/>
        </w:rPr>
      </w:pPr>
      <w:r>
        <w:rPr>
          <w:rFonts w:hint="eastAsia"/>
          <w:color w:val="auto"/>
          <w:lang w:val="en-US" w:eastAsia="zh-CN"/>
        </w:rPr>
        <w:t>24、《民用建筑供暖通风与空气调节设计规范》（GB50736-2012）；</w:t>
      </w:r>
    </w:p>
    <w:p>
      <w:pPr>
        <w:rPr>
          <w:rFonts w:hint="eastAsia"/>
          <w:color w:val="auto"/>
          <w:lang w:val="en-US" w:eastAsia="zh-CN"/>
        </w:rPr>
      </w:pPr>
      <w:r>
        <w:rPr>
          <w:rFonts w:hint="eastAsia"/>
          <w:color w:val="auto"/>
          <w:lang w:val="en-US" w:eastAsia="zh-CN"/>
        </w:rPr>
        <w:t>25、《清水离心泵能效限定值及节能评价值》（GB19762-2007）；</w:t>
      </w:r>
    </w:p>
    <w:p>
      <w:pPr>
        <w:rPr>
          <w:rFonts w:hint="eastAsia"/>
          <w:color w:val="auto"/>
          <w:lang w:val="en-US" w:eastAsia="zh-CN"/>
        </w:rPr>
      </w:pPr>
      <w:r>
        <w:rPr>
          <w:rFonts w:hint="eastAsia"/>
          <w:color w:val="auto"/>
          <w:lang w:val="en-US" w:eastAsia="zh-CN"/>
        </w:rPr>
        <w:t>26、《房间空气调节器能效限定值及能效等级》（GB21455-2019）；</w:t>
      </w:r>
    </w:p>
    <w:p>
      <w:pPr>
        <w:rPr>
          <w:rFonts w:hint="eastAsia"/>
          <w:color w:val="auto"/>
          <w:lang w:val="en-US" w:eastAsia="zh-CN"/>
        </w:rPr>
      </w:pPr>
      <w:r>
        <w:rPr>
          <w:rFonts w:hint="eastAsia"/>
          <w:color w:val="auto"/>
          <w:lang w:val="en-US" w:eastAsia="zh-CN"/>
        </w:rPr>
        <w:t>27、《冷水机组能效限定值及能效等级》（GB 19577-2015）；</w:t>
      </w:r>
    </w:p>
    <w:p>
      <w:pPr>
        <w:rPr>
          <w:rFonts w:hint="eastAsia"/>
          <w:color w:val="auto"/>
          <w:lang w:val="en-US" w:eastAsia="zh-CN"/>
        </w:rPr>
      </w:pPr>
      <w:r>
        <w:rPr>
          <w:rFonts w:hint="eastAsia"/>
          <w:color w:val="auto"/>
          <w:lang w:val="en-US" w:eastAsia="zh-CN"/>
        </w:rPr>
        <w:t>28、《组合式空调机组能效限定值及能源效率等级》（DB31/835-2014）；</w:t>
      </w:r>
    </w:p>
    <w:p>
      <w:pPr>
        <w:rPr>
          <w:rFonts w:hint="eastAsia"/>
          <w:color w:val="auto"/>
          <w:lang w:val="en-US" w:eastAsia="zh-CN"/>
        </w:rPr>
      </w:pPr>
      <w:r>
        <w:rPr>
          <w:rFonts w:hint="eastAsia"/>
          <w:color w:val="auto"/>
          <w:lang w:val="en-US" w:eastAsia="zh-CN"/>
        </w:rPr>
        <w:t>29、《多联式空调（热泵）机组能效限定值及能源效率等级》（GB21454-2008）；</w:t>
      </w:r>
    </w:p>
    <w:p>
      <w:pPr>
        <w:rPr>
          <w:rFonts w:hint="eastAsia"/>
          <w:color w:val="auto"/>
          <w:lang w:val="en-US" w:eastAsia="zh-CN"/>
        </w:rPr>
      </w:pPr>
      <w:r>
        <w:rPr>
          <w:rFonts w:hint="eastAsia"/>
          <w:color w:val="auto"/>
          <w:lang w:val="en-US" w:eastAsia="zh-CN"/>
        </w:rPr>
        <w:t>30、《贵州省行业用水定额》（DB 52/T725-2019）；</w:t>
      </w:r>
    </w:p>
    <w:p>
      <w:pPr>
        <w:rPr>
          <w:rFonts w:hint="eastAsia"/>
          <w:color w:val="auto"/>
          <w:lang w:val="en-US" w:eastAsia="zh-CN"/>
        </w:rPr>
      </w:pPr>
      <w:r>
        <w:rPr>
          <w:rFonts w:hint="eastAsia"/>
          <w:color w:val="auto"/>
          <w:lang w:val="en-US" w:eastAsia="zh-CN"/>
        </w:rPr>
        <w:t>31、《国家节能中心节能评审评价指标通告》；</w:t>
      </w:r>
    </w:p>
    <w:p>
      <w:pPr>
        <w:rPr>
          <w:rFonts w:hint="eastAsia"/>
          <w:color w:val="auto"/>
          <w:lang w:val="en-US" w:eastAsia="zh-CN"/>
        </w:rPr>
      </w:pPr>
      <w:r>
        <w:rPr>
          <w:rFonts w:hint="eastAsia"/>
          <w:color w:val="auto"/>
          <w:lang w:val="en-US" w:eastAsia="zh-CN"/>
        </w:rPr>
        <w:t>32、《建筑卫生陶瓷单位产品能源消耗限额》（GB21252-2013）</w:t>
      </w:r>
    </w:p>
    <w:p>
      <w:pPr>
        <w:rPr>
          <w:rFonts w:hint="eastAsia"/>
          <w:color w:val="auto"/>
          <w:lang w:val="en-US" w:eastAsia="zh-CN"/>
        </w:rPr>
      </w:pPr>
      <w:r>
        <w:rPr>
          <w:rFonts w:hint="eastAsia"/>
          <w:color w:val="auto"/>
          <w:lang w:val="en-US" w:eastAsia="zh-CN"/>
        </w:rPr>
        <w:t>33、《建筑卫生陶瓷工厂节能设计标准》（GB50543-2019）；</w:t>
      </w:r>
    </w:p>
    <w:p>
      <w:pPr>
        <w:rPr>
          <w:rFonts w:hint="eastAsia"/>
          <w:color w:val="auto"/>
          <w:lang w:val="en-US" w:eastAsia="zh-CN"/>
        </w:rPr>
      </w:pPr>
      <w:r>
        <w:rPr>
          <w:rFonts w:hint="eastAsia"/>
          <w:color w:val="auto"/>
          <w:lang w:val="en-US" w:eastAsia="zh-CN"/>
        </w:rPr>
        <w:t>34、《煤炭产品品种和等级划分》GB/T 17608-2006；</w:t>
      </w:r>
    </w:p>
    <w:p>
      <w:pPr>
        <w:rPr>
          <w:rFonts w:hint="eastAsia"/>
          <w:color w:val="auto"/>
          <w:lang w:val="en-US" w:eastAsia="zh-CN"/>
        </w:rPr>
      </w:pPr>
      <w:r>
        <w:rPr>
          <w:rFonts w:hint="eastAsia"/>
          <w:color w:val="auto"/>
          <w:lang w:val="en-US" w:eastAsia="zh-CN"/>
        </w:rPr>
        <w:t>35、《水泥单位产品能源消耗限额》（GB 16780-2012）；</w:t>
      </w:r>
    </w:p>
    <w:p>
      <w:pPr>
        <w:rPr>
          <w:rFonts w:hint="eastAsia"/>
          <w:color w:val="auto"/>
          <w:lang w:val="en-US" w:eastAsia="zh-CN"/>
        </w:rPr>
      </w:pPr>
      <w:r>
        <w:rPr>
          <w:rFonts w:hint="eastAsia"/>
          <w:color w:val="auto"/>
          <w:lang w:val="en-US" w:eastAsia="zh-CN"/>
        </w:rPr>
        <w:t>36、《膨胀玻化微珠保温隔热砂浆》（GB/T 26000-2010）；</w:t>
      </w:r>
    </w:p>
    <w:p>
      <w:pPr>
        <w:rPr>
          <w:rFonts w:hint="eastAsia"/>
          <w:color w:val="auto"/>
          <w:lang w:val="en-US" w:eastAsia="zh-CN"/>
        </w:rPr>
      </w:pPr>
      <w:r>
        <w:rPr>
          <w:rFonts w:hint="eastAsia"/>
          <w:color w:val="auto"/>
          <w:lang w:val="en-US" w:eastAsia="zh-CN"/>
        </w:rPr>
        <w:t>37、《建筑石膏单位产品能源消耗限额》（GB 33654-2017）；</w:t>
      </w:r>
    </w:p>
    <w:p>
      <w:pPr>
        <w:rPr>
          <w:rFonts w:hint="eastAsia"/>
          <w:color w:val="auto"/>
          <w:lang w:val="en-US" w:eastAsia="zh-CN"/>
        </w:rPr>
      </w:pPr>
      <w:r>
        <w:rPr>
          <w:rFonts w:hint="eastAsia"/>
          <w:color w:val="auto"/>
          <w:lang w:val="en-US" w:eastAsia="zh-CN"/>
        </w:rPr>
        <w:t>38、《刚玉单位产品能源消耗限额》（GB 36892-2018）；</w:t>
      </w:r>
    </w:p>
    <w:p>
      <w:pPr>
        <w:rPr>
          <w:rFonts w:hint="eastAsia"/>
          <w:color w:val="auto"/>
          <w:lang w:val="en-US" w:eastAsia="zh-CN"/>
        </w:rPr>
      </w:pPr>
      <w:r>
        <w:rPr>
          <w:rFonts w:hint="eastAsia"/>
          <w:color w:val="auto"/>
          <w:lang w:val="en-US" w:eastAsia="zh-CN"/>
        </w:rPr>
        <w:t>39、《黄磷单位产品能源消耗限额》（GB 21345-2015）；</w:t>
      </w:r>
    </w:p>
    <w:p>
      <w:pPr>
        <w:rPr>
          <w:rFonts w:hint="eastAsia"/>
          <w:color w:val="auto"/>
          <w:lang w:val="en-US" w:eastAsia="zh-CN"/>
        </w:rPr>
      </w:pPr>
      <w:r>
        <w:rPr>
          <w:rFonts w:hint="eastAsia"/>
          <w:color w:val="auto"/>
          <w:lang w:val="en-US" w:eastAsia="zh-CN"/>
        </w:rPr>
        <w:t>40、《合成氨单位产品能源消耗限额》（GB 21344-2015）；</w:t>
      </w:r>
    </w:p>
    <w:p>
      <w:pPr>
        <w:rPr>
          <w:rFonts w:hint="eastAsia"/>
          <w:color w:val="auto"/>
          <w:lang w:val="en-US" w:eastAsia="zh-CN"/>
        </w:rPr>
      </w:pPr>
      <w:r>
        <w:rPr>
          <w:rFonts w:hint="eastAsia"/>
          <w:color w:val="auto"/>
          <w:lang w:val="en-US" w:eastAsia="zh-CN"/>
        </w:rPr>
        <w:t>41、《磷酸一铵单位产品能源消耗限额》（GB 29138-2012）；</w:t>
      </w:r>
    </w:p>
    <w:p>
      <w:pPr>
        <w:rPr>
          <w:rFonts w:hint="eastAsia"/>
          <w:color w:val="auto"/>
          <w:lang w:val="en-US" w:eastAsia="zh-CN"/>
        </w:rPr>
      </w:pPr>
      <w:r>
        <w:rPr>
          <w:rFonts w:hint="eastAsia"/>
          <w:color w:val="auto"/>
          <w:lang w:val="en-US" w:eastAsia="zh-CN"/>
        </w:rPr>
        <w:t>42、《磷酸二铵单位产品能源消耗限额》（GB 29139-2012）；</w:t>
      </w:r>
    </w:p>
    <w:p>
      <w:pPr>
        <w:rPr>
          <w:rFonts w:hint="eastAsia"/>
          <w:color w:val="auto"/>
          <w:lang w:val="en-US" w:eastAsia="zh-CN"/>
        </w:rPr>
      </w:pPr>
      <w:r>
        <w:rPr>
          <w:rFonts w:hint="eastAsia"/>
          <w:color w:val="auto"/>
          <w:lang w:val="en-US" w:eastAsia="zh-CN"/>
        </w:rPr>
        <w:t>43、《饲料卫生标准》（GB 13078-2017）；</w:t>
      </w:r>
    </w:p>
    <w:p>
      <w:pPr>
        <w:rPr>
          <w:rFonts w:hint="eastAsia"/>
          <w:color w:val="auto"/>
          <w:lang w:val="en-US" w:eastAsia="zh-CN"/>
        </w:rPr>
      </w:pPr>
      <w:r>
        <w:rPr>
          <w:rFonts w:hint="eastAsia"/>
          <w:color w:val="auto"/>
          <w:lang w:val="en-US" w:eastAsia="zh-CN"/>
        </w:rPr>
        <w:t>44、《饮料制造综合能耗限额》（QB/T 4069-2010）；</w:t>
      </w:r>
    </w:p>
    <w:p>
      <w:pPr>
        <w:rPr>
          <w:rFonts w:hint="eastAsia"/>
          <w:color w:val="auto"/>
          <w:lang w:val="en-US" w:eastAsia="zh-CN"/>
        </w:rPr>
      </w:pPr>
      <w:r>
        <w:rPr>
          <w:rFonts w:hint="eastAsia"/>
          <w:color w:val="auto"/>
          <w:lang w:val="en-US" w:eastAsia="zh-CN"/>
        </w:rPr>
        <w:t>45、《锂离子电池单位产量综合能耗计算方法及限额》（DB 12/046.62-2008）；</w:t>
      </w:r>
    </w:p>
    <w:p>
      <w:pPr>
        <w:rPr>
          <w:rFonts w:hint="eastAsia"/>
          <w:color w:val="auto"/>
          <w:lang w:val="en-US" w:eastAsia="zh-CN"/>
        </w:rPr>
      </w:pPr>
      <w:r>
        <w:rPr>
          <w:rFonts w:hint="eastAsia"/>
          <w:color w:val="auto"/>
          <w:lang w:val="en-US" w:eastAsia="zh-CN"/>
        </w:rPr>
        <w:t>46、《锂离子电池用炭复合磷酸铁锂正极材料》（GB/T 30835-2014）；</w:t>
      </w:r>
    </w:p>
    <w:p>
      <w:pPr>
        <w:rPr>
          <w:rFonts w:hint="eastAsia"/>
          <w:color w:val="auto"/>
          <w:lang w:val="en-US" w:eastAsia="zh-CN"/>
        </w:rPr>
      </w:pPr>
      <w:r>
        <w:rPr>
          <w:rFonts w:hint="eastAsia"/>
          <w:color w:val="auto"/>
          <w:lang w:val="en-US" w:eastAsia="zh-CN"/>
        </w:rPr>
        <w:t>47、《容积式空气压缩机能效限定值及能效等级》（GB 19153-2019）；</w:t>
      </w:r>
    </w:p>
    <w:p>
      <w:pPr>
        <w:rPr>
          <w:rFonts w:hint="eastAsia"/>
          <w:color w:val="auto"/>
          <w:lang w:val="en-US" w:eastAsia="zh-CN"/>
        </w:rPr>
      </w:pPr>
      <w:r>
        <w:rPr>
          <w:rFonts w:hint="eastAsia"/>
          <w:color w:val="auto"/>
          <w:lang w:val="en-US" w:eastAsia="zh-CN"/>
        </w:rPr>
        <w:t>48、《电梯能效等级》（DB 44/T890-2011）；</w:t>
      </w:r>
    </w:p>
    <w:p>
      <w:pPr>
        <w:rPr>
          <w:rFonts w:hint="eastAsia"/>
          <w:color w:val="auto"/>
          <w:lang w:val="en-US" w:eastAsia="zh-CN"/>
        </w:rPr>
      </w:pPr>
      <w:r>
        <w:rPr>
          <w:rFonts w:hint="eastAsia"/>
          <w:color w:val="auto"/>
          <w:lang w:val="en-US" w:eastAsia="zh-CN"/>
        </w:rPr>
        <w:t>49、《通风机能效限定值及能效等级》（GB 19761-2020）；</w:t>
      </w:r>
    </w:p>
    <w:p>
      <w:pPr>
        <w:rPr>
          <w:rFonts w:hint="eastAsia"/>
          <w:color w:val="auto"/>
          <w:lang w:val="en-US" w:eastAsia="zh-CN"/>
        </w:rPr>
      </w:pPr>
      <w:r>
        <w:rPr>
          <w:rFonts w:hint="eastAsia"/>
          <w:color w:val="auto"/>
          <w:lang w:val="en-US" w:eastAsia="zh-CN"/>
        </w:rPr>
        <w:t>50、《电力变压器能效限定值及能效等级》（GB 20052-2020）；</w:t>
      </w:r>
    </w:p>
    <w:p>
      <w:pPr>
        <w:rPr>
          <w:rFonts w:hint="eastAsia"/>
          <w:color w:val="auto"/>
          <w:lang w:val="en-US" w:eastAsia="zh-CN"/>
        </w:rPr>
      </w:pPr>
      <w:r>
        <w:rPr>
          <w:rFonts w:hint="eastAsia"/>
          <w:color w:val="auto"/>
          <w:lang w:val="en-US" w:eastAsia="zh-CN"/>
        </w:rPr>
        <w:t>51、《电动机效限定值及能效等级》（GB 18613-2020）；</w:t>
      </w:r>
    </w:p>
    <w:p>
      <w:pPr>
        <w:rPr>
          <w:rFonts w:hint="eastAsia"/>
          <w:color w:val="auto"/>
          <w:lang w:val="en-US" w:eastAsia="zh-CN"/>
        </w:rPr>
      </w:pPr>
      <w:r>
        <w:rPr>
          <w:rFonts w:hint="eastAsia"/>
          <w:color w:val="auto"/>
          <w:lang w:val="en-US" w:eastAsia="zh-CN"/>
        </w:rPr>
        <w:t>52、《普通照明用双端荧光灯能效限定值及能效等级》（GB 19043-2013）；</w:t>
      </w:r>
    </w:p>
    <w:p>
      <w:pPr>
        <w:rPr>
          <w:rFonts w:hint="eastAsia"/>
          <w:color w:val="auto"/>
          <w:lang w:val="en-US" w:eastAsia="zh-CN"/>
        </w:rPr>
      </w:pPr>
      <w:r>
        <w:rPr>
          <w:rFonts w:hint="eastAsia"/>
          <w:color w:val="auto"/>
          <w:lang w:val="en-US" w:eastAsia="zh-CN"/>
        </w:rPr>
        <w:t>53、《单端荧光灯能效限定值及节能评价值》（GB 19415-2013）；</w:t>
      </w:r>
    </w:p>
    <w:p>
      <w:pPr>
        <w:rPr>
          <w:rFonts w:hint="eastAsia"/>
          <w:color w:val="auto"/>
          <w:lang w:val="en-US" w:eastAsia="zh-CN"/>
        </w:rPr>
      </w:pPr>
      <w:r>
        <w:rPr>
          <w:rFonts w:hint="eastAsia"/>
          <w:color w:val="auto"/>
          <w:lang w:val="en-US" w:eastAsia="zh-CN"/>
        </w:rPr>
        <w:t>54、《普通照明用非定向自镇流LED灯能效限定值及能效等级》（GB 30255-2013）；</w:t>
      </w:r>
    </w:p>
    <w:p>
      <w:pPr>
        <w:rPr>
          <w:rFonts w:hint="eastAsia"/>
          <w:color w:val="auto"/>
          <w:lang w:val="en-US" w:eastAsia="zh-CN"/>
        </w:rPr>
      </w:pPr>
      <w:r>
        <w:rPr>
          <w:rFonts w:hint="eastAsia"/>
          <w:color w:val="auto"/>
          <w:lang w:val="en-US" w:eastAsia="zh-CN"/>
        </w:rPr>
        <w:t>55、《金属卤化物灯能效限定值及能效等级》（GB 20054-2015）；</w:t>
      </w:r>
    </w:p>
    <w:p>
      <w:pPr>
        <w:rPr>
          <w:rFonts w:hint="eastAsia"/>
          <w:color w:val="auto"/>
          <w:lang w:val="en-US" w:eastAsia="zh-CN"/>
        </w:rPr>
      </w:pPr>
      <w:r>
        <w:rPr>
          <w:rFonts w:hint="eastAsia"/>
          <w:color w:val="auto"/>
          <w:lang w:val="en-US" w:eastAsia="zh-CN"/>
        </w:rPr>
        <w:t>56、《道路和隧道照明用LED灯具能效限定值及能效等级》（GB 37478-2019）；</w:t>
      </w:r>
    </w:p>
    <w:p>
      <w:pPr>
        <w:rPr>
          <w:rFonts w:hint="eastAsia"/>
          <w:color w:val="auto"/>
          <w:lang w:val="en-US" w:eastAsia="zh-CN"/>
        </w:rPr>
      </w:pPr>
      <w:r>
        <w:rPr>
          <w:rFonts w:hint="eastAsia"/>
          <w:color w:val="auto"/>
          <w:lang w:val="en-US" w:eastAsia="zh-CN"/>
        </w:rPr>
        <w:t>57、《城镇污水处理能源消耗限额》（DB 11/T1118-2014）；</w:t>
      </w:r>
    </w:p>
    <w:p>
      <w:pPr>
        <w:rPr>
          <w:rFonts w:hint="eastAsia"/>
          <w:color w:val="auto"/>
          <w:lang w:val="en-US" w:eastAsia="zh-CN"/>
        </w:rPr>
      </w:pPr>
      <w:r>
        <w:rPr>
          <w:rFonts w:hint="eastAsia"/>
          <w:color w:val="auto"/>
          <w:lang w:val="en-US" w:eastAsia="zh-CN"/>
        </w:rPr>
        <w:t>58、《一般用喷油螺杆空气压缩机》（JB/T 6430-2014）；</w:t>
      </w:r>
    </w:p>
    <w:p>
      <w:pPr>
        <w:rPr>
          <w:rFonts w:hint="eastAsia"/>
          <w:color w:val="auto"/>
          <w:lang w:val="en-US" w:eastAsia="zh-CN"/>
        </w:rPr>
      </w:pPr>
      <w:r>
        <w:rPr>
          <w:rFonts w:hint="eastAsia"/>
          <w:color w:val="auto"/>
          <w:lang w:val="en-US" w:eastAsia="zh-CN"/>
        </w:rPr>
        <w:t>59、《设备及管道绝热技术通则》（GB/T 4272-2008）；</w:t>
      </w:r>
    </w:p>
    <w:p>
      <w:pPr>
        <w:rPr>
          <w:rFonts w:hint="eastAsia"/>
          <w:color w:val="auto"/>
          <w:lang w:val="en-US" w:eastAsia="zh-CN"/>
        </w:rPr>
      </w:pPr>
      <w:r>
        <w:rPr>
          <w:rFonts w:hint="eastAsia"/>
          <w:color w:val="auto"/>
          <w:lang w:val="en-US" w:eastAsia="zh-CN"/>
        </w:rPr>
        <w:t>60、《机械工业工程节能设计规划》（GB 50910-2013）；</w:t>
      </w:r>
    </w:p>
    <w:p>
      <w:pPr>
        <w:rPr>
          <w:rFonts w:hint="eastAsia"/>
          <w:color w:val="auto"/>
          <w:lang w:val="en-US" w:eastAsia="zh-CN"/>
        </w:rPr>
      </w:pPr>
      <w:r>
        <w:rPr>
          <w:rFonts w:hint="eastAsia"/>
          <w:color w:val="auto"/>
          <w:lang w:val="en-US" w:eastAsia="zh-CN"/>
        </w:rPr>
        <w:t>61、《城市道路照明设计标准》（CJJ 45-2015）；</w:t>
      </w:r>
    </w:p>
    <w:p>
      <w:pPr>
        <w:rPr>
          <w:rFonts w:hint="eastAsia"/>
          <w:color w:val="auto"/>
          <w:lang w:val="en-US" w:eastAsia="zh-CN"/>
        </w:rPr>
      </w:pPr>
      <w:r>
        <w:rPr>
          <w:rFonts w:hint="eastAsia"/>
          <w:color w:val="auto"/>
          <w:lang w:val="en-US" w:eastAsia="zh-CN"/>
        </w:rPr>
        <w:t>62、《电子工业洁净厂房设计规范》（GB 50472-2008）；</w:t>
      </w:r>
    </w:p>
    <w:p>
      <w:pPr>
        <w:rPr>
          <w:rFonts w:hint="eastAsia"/>
          <w:color w:val="auto"/>
          <w:lang w:val="en-US" w:eastAsia="zh-CN"/>
        </w:rPr>
      </w:pPr>
      <w:r>
        <w:rPr>
          <w:rFonts w:hint="eastAsia"/>
          <w:color w:val="auto"/>
          <w:lang w:val="en-US" w:eastAsia="zh-CN"/>
        </w:rPr>
        <w:t>63、《贵阳市区域能评工作指南（试行）》（筑发改环资〔2019〕153号）。</w:t>
      </w:r>
    </w:p>
    <w:p>
      <w:pPr>
        <w:pStyle w:val="4"/>
        <w:bidi w:val="0"/>
        <w:rPr>
          <w:rFonts w:hint="eastAsia"/>
          <w:color w:val="auto"/>
          <w:lang w:val="en-US" w:eastAsia="zh-CN"/>
        </w:rPr>
      </w:pPr>
      <w:bookmarkStart w:id="6" w:name="_Toc16603"/>
      <w:r>
        <w:rPr>
          <w:rFonts w:hint="eastAsia"/>
          <w:color w:val="auto"/>
          <w:lang w:val="en-US" w:eastAsia="zh-CN"/>
        </w:rPr>
        <w:t>1.3.3 节能推荐目录、淘汰目录</w:t>
      </w:r>
      <w:bookmarkEnd w:id="6"/>
    </w:p>
    <w:p>
      <w:pPr>
        <w:rPr>
          <w:rFonts w:hint="eastAsia"/>
          <w:color w:val="auto"/>
          <w:lang w:val="en-US" w:eastAsia="zh-CN"/>
        </w:rPr>
      </w:pPr>
      <w:r>
        <w:rPr>
          <w:rFonts w:hint="eastAsia"/>
          <w:color w:val="auto"/>
          <w:lang w:val="en-US" w:eastAsia="zh-CN"/>
        </w:rPr>
        <w:t>1、《固定资产投资项目节能评估文件编制要点及示例》（11CD008-4）；</w:t>
      </w:r>
    </w:p>
    <w:p>
      <w:pPr>
        <w:rPr>
          <w:rFonts w:hint="eastAsia"/>
          <w:color w:val="auto"/>
          <w:lang w:val="en-US" w:eastAsia="zh-CN"/>
        </w:rPr>
      </w:pPr>
      <w:r>
        <w:rPr>
          <w:rFonts w:hint="eastAsia"/>
          <w:color w:val="auto"/>
          <w:lang w:val="en-US" w:eastAsia="zh-CN"/>
        </w:rPr>
        <w:t>2、《全国民用建筑工程设计技术措施-暖通空调动力》（2009版本）；</w:t>
      </w:r>
    </w:p>
    <w:p>
      <w:pPr>
        <w:rPr>
          <w:rFonts w:hint="eastAsia"/>
          <w:color w:val="auto"/>
          <w:lang w:val="en-US" w:eastAsia="zh-CN"/>
        </w:rPr>
      </w:pPr>
      <w:r>
        <w:rPr>
          <w:rFonts w:hint="eastAsia"/>
          <w:color w:val="auto"/>
          <w:lang w:val="en-US" w:eastAsia="zh-CN"/>
        </w:rPr>
        <w:t>3、《全国民用建筑工程设计技术措施-电气》（2009版本）；</w:t>
      </w:r>
    </w:p>
    <w:p>
      <w:pPr>
        <w:rPr>
          <w:rFonts w:hint="eastAsia"/>
          <w:color w:val="auto"/>
          <w:lang w:val="en-US" w:eastAsia="zh-CN"/>
        </w:rPr>
      </w:pPr>
      <w:r>
        <w:rPr>
          <w:rFonts w:hint="eastAsia"/>
          <w:color w:val="auto"/>
          <w:lang w:val="en-US" w:eastAsia="zh-CN"/>
        </w:rPr>
        <w:t>4、《全国民用建筑工程设计技术措施-给水排水》（2009版本）；</w:t>
      </w:r>
    </w:p>
    <w:p>
      <w:pPr>
        <w:rPr>
          <w:rFonts w:hint="eastAsia"/>
          <w:color w:val="auto"/>
          <w:lang w:val="en-US" w:eastAsia="zh-CN"/>
        </w:rPr>
      </w:pPr>
      <w:r>
        <w:rPr>
          <w:rFonts w:hint="eastAsia"/>
          <w:color w:val="auto"/>
          <w:lang w:val="en-US" w:eastAsia="zh-CN"/>
        </w:rPr>
        <w:t>5、《全国民用建筑工程设计技术措施-规划.建筑.景观》（2009版本）；</w:t>
      </w:r>
    </w:p>
    <w:p>
      <w:pPr>
        <w:rPr>
          <w:rFonts w:hint="eastAsia"/>
          <w:color w:val="auto"/>
          <w:lang w:val="en-US" w:eastAsia="zh-CN"/>
        </w:rPr>
      </w:pPr>
      <w:r>
        <w:rPr>
          <w:rFonts w:hint="eastAsia"/>
          <w:color w:val="auto"/>
          <w:lang w:val="en-US" w:eastAsia="zh-CN"/>
        </w:rPr>
        <w:t>6、《工业与民用配电设计手册》（第四版）；</w:t>
      </w:r>
    </w:p>
    <w:p>
      <w:pPr>
        <w:rPr>
          <w:rFonts w:hint="eastAsia"/>
          <w:color w:val="auto"/>
          <w:lang w:val="en-US" w:eastAsia="zh-CN"/>
        </w:rPr>
      </w:pPr>
      <w:r>
        <w:rPr>
          <w:rFonts w:hint="eastAsia"/>
          <w:color w:val="auto"/>
          <w:lang w:val="en-US" w:eastAsia="zh-CN"/>
        </w:rPr>
        <w:t>7、《工业和信息化部节能机电设备（产品）推荐目录（第一批）》（工节［2009］第41号）；</w:t>
      </w:r>
    </w:p>
    <w:p>
      <w:pPr>
        <w:rPr>
          <w:rFonts w:hint="eastAsia"/>
          <w:color w:val="auto"/>
          <w:lang w:val="en-US" w:eastAsia="zh-CN"/>
        </w:rPr>
      </w:pPr>
      <w:r>
        <w:rPr>
          <w:rFonts w:hint="eastAsia"/>
          <w:color w:val="auto"/>
          <w:lang w:val="en-US" w:eastAsia="zh-CN"/>
        </w:rPr>
        <w:t>8、《工业和信息化部节能机电设备（产品）推荐目录（第二批）》（工节［2010］第112号）；</w:t>
      </w:r>
    </w:p>
    <w:p>
      <w:pPr>
        <w:rPr>
          <w:rFonts w:hint="eastAsia"/>
          <w:color w:val="auto"/>
          <w:lang w:val="en-US" w:eastAsia="zh-CN"/>
        </w:rPr>
      </w:pPr>
      <w:r>
        <w:rPr>
          <w:rFonts w:hint="eastAsia"/>
          <w:color w:val="auto"/>
          <w:lang w:val="en-US" w:eastAsia="zh-CN"/>
        </w:rPr>
        <w:t>9、《工业和信息化部节能机电设备（产品）推荐目录（第三批）》（工节［2011］第42号）；</w:t>
      </w:r>
    </w:p>
    <w:p>
      <w:pPr>
        <w:rPr>
          <w:rFonts w:hint="eastAsia"/>
          <w:color w:val="auto"/>
          <w:lang w:val="en-US" w:eastAsia="zh-CN"/>
        </w:rPr>
      </w:pPr>
      <w:r>
        <w:rPr>
          <w:rFonts w:hint="eastAsia"/>
          <w:color w:val="auto"/>
          <w:lang w:val="en-US" w:eastAsia="zh-CN"/>
        </w:rPr>
        <w:t>10、《工业和信息化部节能机电设备（产品）推荐目录（第四批）》（工节［2013］第12号）；</w:t>
      </w:r>
    </w:p>
    <w:p>
      <w:pPr>
        <w:rPr>
          <w:rFonts w:hint="eastAsia"/>
          <w:color w:val="auto"/>
          <w:lang w:val="en-US" w:eastAsia="zh-CN"/>
        </w:rPr>
      </w:pPr>
      <w:r>
        <w:rPr>
          <w:rFonts w:hint="eastAsia"/>
          <w:color w:val="auto"/>
          <w:lang w:val="en-US" w:eastAsia="zh-CN"/>
        </w:rPr>
        <w:t>11、《工业和信息化部节能机电设备（产品）推荐目录（第五批）》（工节［2014］第72号）；</w:t>
      </w:r>
    </w:p>
    <w:p>
      <w:pPr>
        <w:rPr>
          <w:rFonts w:hint="eastAsia"/>
          <w:color w:val="auto"/>
          <w:lang w:val="en-US" w:eastAsia="zh-CN"/>
        </w:rPr>
      </w:pPr>
      <w:r>
        <w:rPr>
          <w:rFonts w:hint="eastAsia"/>
          <w:color w:val="auto"/>
          <w:lang w:val="en-US" w:eastAsia="zh-CN"/>
        </w:rPr>
        <w:t>12、《工业和信息化部节能机电设备（产品）推荐目录（第六批）》（工节［2015］第72号）；</w:t>
      </w:r>
    </w:p>
    <w:p>
      <w:pPr>
        <w:rPr>
          <w:rFonts w:hint="eastAsia"/>
          <w:color w:val="auto"/>
          <w:lang w:val="en-US" w:eastAsia="zh-CN"/>
        </w:rPr>
      </w:pPr>
      <w:r>
        <w:rPr>
          <w:rFonts w:hint="eastAsia"/>
          <w:color w:val="auto"/>
          <w:lang w:val="en-US" w:eastAsia="zh-CN"/>
        </w:rPr>
        <w:t>13、《工业和信息化部节能机电设备（产品）推荐目录（第七批）》（工节［2016］368号）；</w:t>
      </w:r>
    </w:p>
    <w:p>
      <w:pPr>
        <w:rPr>
          <w:rFonts w:hint="eastAsia"/>
          <w:color w:val="auto"/>
          <w:lang w:val="en-US" w:eastAsia="zh-CN"/>
        </w:rPr>
      </w:pPr>
      <w:r>
        <w:rPr>
          <w:rFonts w:hint="eastAsia"/>
          <w:color w:val="auto"/>
          <w:lang w:val="en-US" w:eastAsia="zh-CN"/>
        </w:rPr>
        <w:t>14、《国家重点节能低碳技术推广目录》（2017年本节能部分）；</w:t>
      </w:r>
    </w:p>
    <w:p>
      <w:pPr>
        <w:rPr>
          <w:rFonts w:hint="eastAsia"/>
          <w:color w:val="auto"/>
          <w:lang w:val="en-US" w:eastAsia="zh-CN"/>
        </w:rPr>
      </w:pPr>
      <w:r>
        <w:rPr>
          <w:rFonts w:hint="eastAsia"/>
          <w:color w:val="auto"/>
          <w:lang w:val="en-US" w:eastAsia="zh-CN"/>
        </w:rPr>
        <w:t>15、《高耗能落后机电设备（产品）淘汰目录》（第一批）工节[2009]第67号；</w:t>
      </w:r>
    </w:p>
    <w:p>
      <w:pPr>
        <w:rPr>
          <w:rFonts w:hint="eastAsia"/>
          <w:color w:val="auto"/>
          <w:lang w:val="en-US" w:eastAsia="zh-CN"/>
        </w:rPr>
      </w:pPr>
      <w:r>
        <w:rPr>
          <w:rFonts w:hint="eastAsia"/>
          <w:color w:val="auto"/>
          <w:lang w:val="en-US" w:eastAsia="zh-CN"/>
        </w:rPr>
        <w:t>16、《高耗能落后机电设备（产品）淘汰目录》（第二批）；</w:t>
      </w:r>
    </w:p>
    <w:p>
      <w:pPr>
        <w:rPr>
          <w:rFonts w:hint="eastAsia"/>
          <w:color w:val="auto"/>
          <w:lang w:val="en-US" w:eastAsia="zh-CN"/>
        </w:rPr>
      </w:pPr>
      <w:r>
        <w:rPr>
          <w:rFonts w:hint="eastAsia"/>
          <w:color w:val="auto"/>
          <w:lang w:val="en-US" w:eastAsia="zh-CN"/>
        </w:rPr>
        <w:t>17、《高耗能落后机电设备（产品）淘汰目录》（第三批）；</w:t>
      </w:r>
    </w:p>
    <w:p>
      <w:pPr>
        <w:rPr>
          <w:rFonts w:hint="eastAsia"/>
          <w:color w:val="auto"/>
          <w:lang w:val="en-US" w:eastAsia="zh-CN"/>
        </w:rPr>
      </w:pPr>
      <w:r>
        <w:rPr>
          <w:rFonts w:hint="eastAsia"/>
          <w:color w:val="auto"/>
          <w:lang w:val="en-US" w:eastAsia="zh-CN"/>
        </w:rPr>
        <w:t>18、《高耗能落后机电设备（产品）淘汰目录》（第四批）。</w:t>
      </w:r>
    </w:p>
    <w:p>
      <w:pPr>
        <w:pStyle w:val="4"/>
        <w:bidi w:val="0"/>
        <w:rPr>
          <w:rFonts w:hint="eastAsia"/>
          <w:color w:val="auto"/>
          <w:lang w:val="en-US" w:eastAsia="zh-CN"/>
        </w:rPr>
      </w:pPr>
      <w:bookmarkStart w:id="7" w:name="_Toc13939"/>
      <w:r>
        <w:rPr>
          <w:rFonts w:hint="eastAsia"/>
          <w:color w:val="auto"/>
          <w:lang w:val="en-US" w:eastAsia="zh-CN"/>
        </w:rPr>
        <w:t>1.3.4 项目相关资料</w:t>
      </w:r>
      <w:bookmarkEnd w:id="7"/>
    </w:p>
    <w:p>
      <w:pPr>
        <w:rPr>
          <w:rFonts w:hint="eastAsia"/>
          <w:color w:val="auto"/>
          <w:lang w:val="en-US" w:eastAsia="zh-CN"/>
        </w:rPr>
      </w:pPr>
      <w:r>
        <w:rPr>
          <w:rFonts w:hint="eastAsia"/>
          <w:color w:val="auto"/>
          <w:lang w:val="en-US" w:eastAsia="zh-CN"/>
        </w:rPr>
        <w:t>1、《贵州开阳经济开发区控制性规划》；</w:t>
      </w:r>
    </w:p>
    <w:p>
      <w:pPr>
        <w:rPr>
          <w:rFonts w:hint="eastAsia"/>
          <w:color w:val="auto"/>
          <w:lang w:val="en-US" w:eastAsia="zh-CN"/>
        </w:rPr>
      </w:pPr>
      <w:r>
        <w:rPr>
          <w:rFonts w:hint="eastAsia"/>
          <w:color w:val="auto"/>
          <w:lang w:val="en-US" w:eastAsia="zh-CN"/>
        </w:rPr>
        <w:t>2、《贵州开阳经济开发区产业发展规划》；</w:t>
      </w:r>
    </w:p>
    <w:p>
      <w:pPr>
        <w:rPr>
          <w:rFonts w:hint="default"/>
          <w:color w:val="auto"/>
          <w:lang w:val="en-US" w:eastAsia="zh-CN"/>
        </w:rPr>
      </w:pPr>
      <w:r>
        <w:rPr>
          <w:rFonts w:hint="eastAsia"/>
          <w:color w:val="auto"/>
          <w:lang w:val="en-US" w:eastAsia="zh-CN"/>
        </w:rPr>
        <w:t>3、《贵州开阳县龙岗镇总体规划》（2015-2030）；</w:t>
      </w:r>
    </w:p>
    <w:p>
      <w:pPr>
        <w:rPr>
          <w:rFonts w:hint="eastAsia"/>
          <w:color w:val="auto"/>
          <w:lang w:val="en-US" w:eastAsia="zh-CN"/>
        </w:rPr>
      </w:pPr>
      <w:r>
        <w:rPr>
          <w:rFonts w:hint="eastAsia"/>
          <w:color w:val="auto"/>
          <w:lang w:val="en-US" w:eastAsia="zh-CN"/>
        </w:rPr>
        <w:t>4、现场调研和贵州开阳经济开发区提供的其他相关资料。</w:t>
      </w:r>
    </w:p>
    <w:p>
      <w:pPr>
        <w:rPr>
          <w:rFonts w:hint="eastAsia"/>
          <w:color w:val="auto"/>
          <w:lang w:val="en-US" w:eastAsia="zh-CN"/>
        </w:rPr>
      </w:pPr>
    </w:p>
    <w:p>
      <w:pPr>
        <w:pStyle w:val="3"/>
        <w:bidi w:val="0"/>
        <w:rPr>
          <w:rFonts w:hint="eastAsia"/>
          <w:color w:val="auto"/>
          <w:lang w:val="en-US" w:eastAsia="zh-CN"/>
        </w:rPr>
      </w:pPr>
      <w:bookmarkStart w:id="8" w:name="_Toc19632"/>
      <w:r>
        <w:rPr>
          <w:rFonts w:hint="eastAsia"/>
          <w:color w:val="auto"/>
          <w:lang w:val="en-US" w:eastAsia="zh-CN"/>
        </w:rPr>
        <w:t>1.4 编制原则和目的</w:t>
      </w:r>
      <w:bookmarkEnd w:id="8"/>
    </w:p>
    <w:p>
      <w:pPr>
        <w:rPr>
          <w:rFonts w:hint="eastAsia"/>
          <w:color w:val="auto"/>
          <w:lang w:val="en-US" w:eastAsia="zh-CN"/>
        </w:rPr>
      </w:pPr>
      <w:r>
        <w:rPr>
          <w:rFonts w:hint="eastAsia"/>
          <w:color w:val="auto"/>
          <w:lang w:val="en-US" w:eastAsia="zh-CN"/>
        </w:rPr>
        <w:t>开展区域能评，是深化能源消费领域的审批制度改革，推动实现投资项目高效审批的重要内容，是推进能源消费体制机制创新，实现能源“双控”目标任务的重要手段，也是节能主管部门落实“放管服”要求，优化创业创新环境、服务企业发展的重要措施。</w:t>
      </w:r>
    </w:p>
    <w:p>
      <w:pPr>
        <w:rPr>
          <w:rFonts w:hint="eastAsia"/>
          <w:color w:val="auto"/>
          <w:lang w:val="en-US" w:eastAsia="zh-CN"/>
        </w:rPr>
      </w:pPr>
      <w:r>
        <w:rPr>
          <w:rFonts w:hint="eastAsia"/>
          <w:color w:val="auto"/>
          <w:lang w:val="en-US" w:eastAsia="zh-CN"/>
        </w:rPr>
        <w:t>一、坚持改革精神，落实“放管服”要求</w:t>
      </w:r>
    </w:p>
    <w:p>
      <w:pPr>
        <w:rPr>
          <w:rFonts w:hint="eastAsia"/>
          <w:color w:val="auto"/>
          <w:lang w:val="en-US" w:eastAsia="zh-CN"/>
        </w:rPr>
      </w:pPr>
      <w:r>
        <w:rPr>
          <w:rFonts w:hint="eastAsia"/>
          <w:color w:val="auto"/>
          <w:lang w:val="en-US" w:eastAsia="zh-CN"/>
        </w:rPr>
        <w:t>依据《国务院办公厅关于全面开展工程建设项目审批制度改革的实施意见》（国办发〔2019〕11号）及《省人民政府办公厅关于印发贵州省全面开展工程建设项目审批制度改革工作实施方案的通知》（黔府办发〔2019〕8号）和《市人民政府关于印发贵阳市进一步深化工程建设项目审批制度改革工作实施方案的通知》（筑府发〔2019〕16号）等政策的有关要求，围绕贵阳市工程建设项目审批制度试点改革的总体需求，以推进政府治理体系和治理能力现代化为目标，以更好更快方便企业和群众办事为导向，加大转变政府职能和简政放权力度，深化工程建设项目审批制度改革，落实工程建设项目审批“四统一”要求，提高审批效能，不断优化营商环境。</w:t>
      </w:r>
    </w:p>
    <w:p>
      <w:pPr>
        <w:rPr>
          <w:rFonts w:hint="eastAsia"/>
          <w:color w:val="auto"/>
          <w:lang w:val="en-US" w:eastAsia="zh-CN"/>
        </w:rPr>
      </w:pPr>
      <w:r>
        <w:rPr>
          <w:rFonts w:hint="eastAsia"/>
          <w:color w:val="auto"/>
          <w:lang w:val="en-US" w:eastAsia="zh-CN"/>
        </w:rPr>
        <w:t>按照全流程全覆盖的要求，继续深化改革，进一步精减审批事项和条件、下放审批权限、合并审批事项、转变管理方式、调整审批时序、压减审批时间，推进区域节能评估，加强辅导服务，提高审批效能。完善工程建设项目审批制度框架和管理系统，提高审批效能。</w:t>
      </w:r>
    </w:p>
    <w:p>
      <w:pPr>
        <w:rPr>
          <w:rFonts w:hint="eastAsia"/>
          <w:color w:val="auto"/>
          <w:lang w:val="en-US" w:eastAsia="zh-CN"/>
        </w:rPr>
      </w:pPr>
      <w:r>
        <w:rPr>
          <w:rFonts w:hint="eastAsia"/>
          <w:color w:val="auto"/>
          <w:lang w:val="en-US" w:eastAsia="zh-CN"/>
        </w:rPr>
        <w:t>二、坚持探索创新，发挥示范作用</w:t>
      </w:r>
    </w:p>
    <w:p>
      <w:pPr>
        <w:rPr>
          <w:rFonts w:hint="eastAsia"/>
          <w:color w:val="auto"/>
          <w:lang w:val="en-US" w:eastAsia="zh-CN"/>
        </w:rPr>
      </w:pPr>
      <w:r>
        <w:rPr>
          <w:rFonts w:hint="eastAsia"/>
          <w:color w:val="auto"/>
          <w:lang w:val="en-US" w:eastAsia="zh-CN"/>
        </w:rPr>
        <w:t>贵阳市是国务院明确开展工程建设项目审批制度改革试点的16个省区市之一，本项目作为省级经济开发区，要带头坚持探索创新，通过改革试点，构建科学、便捷、高效的工程建设项目节能审查体系，发挥示范作用。</w:t>
      </w:r>
    </w:p>
    <w:p>
      <w:pPr>
        <w:rPr>
          <w:rFonts w:hint="eastAsia"/>
          <w:color w:val="auto"/>
          <w:lang w:val="en-US" w:eastAsia="zh-CN"/>
        </w:rPr>
      </w:pPr>
      <w:r>
        <w:rPr>
          <w:rFonts w:hint="eastAsia"/>
          <w:color w:val="auto"/>
          <w:lang w:val="en-US" w:eastAsia="zh-CN"/>
        </w:rPr>
        <w:t>三、坚持求真务实，注重科学精准</w:t>
      </w:r>
    </w:p>
    <w:p>
      <w:pPr>
        <w:rPr>
          <w:rFonts w:hint="eastAsia"/>
          <w:color w:val="auto"/>
          <w:lang w:val="en-US" w:eastAsia="zh-CN"/>
        </w:rPr>
      </w:pPr>
      <w:r>
        <w:rPr>
          <w:rFonts w:hint="eastAsia"/>
          <w:color w:val="auto"/>
          <w:lang w:val="en-US" w:eastAsia="zh-CN"/>
        </w:rPr>
        <w:t>坚持求真务实的原则，按区域统一编制节能报告，根据评价区域的主导产业等相关内容，设定科学合理的评价指标体系等，将建设项目节能审查由单体把关转变为整体把关，切实承担起服务企业和落实节能降耗目标任务的双重责任，确保完成所在区域单位增加值能耗和能源消费总量控制目标。注重科学精准，防止空洞模糊，以节能为核心提出区域节能审查负面清单、能效标准等明确的指标体系，为依法开展能评事中事后监管，建立企业用能承诺信用制度奠定基础。</w:t>
      </w:r>
    </w:p>
    <w:p>
      <w:pPr>
        <w:rPr>
          <w:rFonts w:hint="eastAsia"/>
          <w:color w:val="auto"/>
          <w:lang w:val="en-US" w:eastAsia="zh-CN"/>
        </w:rPr>
      </w:pPr>
      <w:r>
        <w:rPr>
          <w:rFonts w:hint="eastAsia"/>
          <w:color w:val="auto"/>
          <w:lang w:val="en-US" w:eastAsia="zh-CN"/>
        </w:rPr>
        <w:br w:type="page"/>
      </w:r>
    </w:p>
    <w:p>
      <w:pPr>
        <w:pStyle w:val="2"/>
        <w:bidi w:val="0"/>
        <w:rPr>
          <w:rFonts w:hint="eastAsia"/>
          <w:color w:val="auto"/>
          <w:lang w:val="en-US" w:eastAsia="zh-CN"/>
        </w:rPr>
      </w:pPr>
      <w:bookmarkStart w:id="9" w:name="_Toc24280"/>
      <w:r>
        <w:rPr>
          <w:rFonts w:hint="eastAsia"/>
          <w:color w:val="auto"/>
          <w:lang w:val="en-US" w:eastAsia="zh-CN"/>
        </w:rPr>
        <w:t>第二章 区域产业和能源概况及发展规划</w:t>
      </w:r>
      <w:bookmarkEnd w:id="9"/>
    </w:p>
    <w:p>
      <w:pPr>
        <w:pStyle w:val="3"/>
        <w:bidi w:val="0"/>
        <w:rPr>
          <w:rFonts w:hint="eastAsia"/>
          <w:color w:val="auto"/>
          <w:lang w:val="en-US" w:eastAsia="zh-CN"/>
        </w:rPr>
      </w:pPr>
      <w:bookmarkStart w:id="10" w:name="_Toc15350"/>
      <w:r>
        <w:rPr>
          <w:rFonts w:hint="eastAsia"/>
          <w:color w:val="auto"/>
          <w:lang w:val="en-US" w:eastAsia="zh-CN"/>
        </w:rPr>
        <w:t>2.1 区域产业发展现状</w:t>
      </w:r>
      <w:bookmarkEnd w:id="10"/>
    </w:p>
    <w:p>
      <w:pPr>
        <w:pStyle w:val="4"/>
        <w:bidi w:val="0"/>
        <w:rPr>
          <w:rFonts w:hint="default"/>
          <w:color w:val="auto"/>
          <w:lang w:val="en-US" w:eastAsia="zh-CN"/>
        </w:rPr>
      </w:pPr>
      <w:bookmarkStart w:id="11" w:name="_Toc29521"/>
      <w:r>
        <w:rPr>
          <w:rFonts w:hint="eastAsia"/>
          <w:color w:val="auto"/>
          <w:lang w:val="en-US" w:eastAsia="zh-CN"/>
        </w:rPr>
        <w:t>2.1.1 开阳县发展现状</w:t>
      </w:r>
      <w:bookmarkEnd w:id="11"/>
    </w:p>
    <w:p>
      <w:pPr>
        <w:rPr>
          <w:rFonts w:hint="eastAsia"/>
          <w:color w:val="auto"/>
          <w:lang w:val="en-US" w:eastAsia="zh-CN"/>
        </w:rPr>
      </w:pPr>
      <w:r>
        <w:rPr>
          <w:rFonts w:hint="eastAsia"/>
          <w:color w:val="auto"/>
          <w:lang w:val="en-US" w:eastAsia="zh-CN"/>
        </w:rPr>
        <w:t>1、自然简况</w:t>
      </w:r>
    </w:p>
    <w:p>
      <w:pPr>
        <w:rPr>
          <w:rFonts w:hint="eastAsia"/>
          <w:color w:val="auto"/>
          <w:lang w:val="en-US" w:eastAsia="zh-CN"/>
        </w:rPr>
      </w:pPr>
      <w:r>
        <w:rPr>
          <w:rFonts w:hint="eastAsia"/>
          <w:color w:val="auto"/>
          <w:lang w:val="en-US" w:eastAsia="zh-CN"/>
        </w:rPr>
        <w:t>开阳县隶属于贵州省贵阳市，位于黔中腹地，东与瓮安、福泉接壤，南与龙里、乌当毗邻，西与修文、息烽交界，北隔乌江与遵义相望，总面积2026平方公里，耕地资源面积67186.7hm</w:t>
      </w:r>
      <w:r>
        <w:rPr>
          <w:rFonts w:hint="eastAsia"/>
          <w:color w:val="auto"/>
          <w:vertAlign w:val="superscript"/>
          <w:lang w:val="en-US" w:eastAsia="zh-CN"/>
        </w:rPr>
        <w:t>2</w:t>
      </w:r>
      <w:r>
        <w:rPr>
          <w:rFonts w:hint="eastAsia"/>
          <w:color w:val="auto"/>
          <w:lang w:val="en-US" w:eastAsia="zh-CN"/>
        </w:rPr>
        <w:t>，森林面积100991hm</w:t>
      </w:r>
      <w:r>
        <w:rPr>
          <w:rFonts w:hint="eastAsia"/>
          <w:color w:val="auto"/>
          <w:vertAlign w:val="superscript"/>
          <w:lang w:val="en-US" w:eastAsia="zh-CN"/>
        </w:rPr>
        <w:t>2</w:t>
      </w:r>
      <w:r>
        <w:rPr>
          <w:rFonts w:hint="eastAsia"/>
          <w:color w:val="auto"/>
          <w:lang w:val="en-US" w:eastAsia="zh-CN"/>
        </w:rPr>
        <w:t>，森林覆盖率57.25%。气候类型属于北亚热带季风湿润气候，四季分明，冬无严寒，夏无酷暑；多年平均气温介于10.6～15.3℃，极端最高气温35.4℃，极端最低气温-10.1℃，多年平均降雨量1216.7mm，年平均相对湿度84%。</w:t>
      </w:r>
    </w:p>
    <w:p>
      <w:pPr>
        <w:rPr>
          <w:rFonts w:hint="eastAsia"/>
          <w:color w:val="auto"/>
          <w:lang w:val="en-US" w:eastAsia="zh-CN"/>
        </w:rPr>
      </w:pPr>
      <w:r>
        <w:rPr>
          <w:rFonts w:hint="eastAsia"/>
          <w:color w:val="auto"/>
          <w:lang w:val="en-US" w:eastAsia="zh-CN"/>
        </w:rPr>
        <w:t>开阳县自然资源丰富。已查明木本植物1000多种、草本植物120多种，中药材580多种。有磷、煤、汞、矿泉水等35种矿藏，已探明磷矿储量19亿吨，远景储量31亿吨，其中五氧化二磷含量大多在33.31%～36.77%之间，是全国磷矿主产区，与湖北襄阳、云南昆阳并称“三阳开泰”，故开阳有“高原磷都”美誉。全县有煤炭、铝土矿、硅石等矿产资源，其中，煤炭储量5973万吨、硅石储量1045万吨、铝土矿储量581万吨。马岔河矿泉含人体必需的13种微量元素，水温与人体温度接近，可饮可浴，极具医疗保健价值。境内有大小河流60多条，河流总长911.7千米。</w:t>
      </w:r>
    </w:p>
    <w:p>
      <w:pPr>
        <w:rPr>
          <w:rFonts w:hint="eastAsia"/>
          <w:color w:val="auto"/>
          <w:lang w:val="en-US" w:eastAsia="zh-CN"/>
        </w:rPr>
      </w:pPr>
      <w:r>
        <w:rPr>
          <w:rFonts w:hint="eastAsia"/>
          <w:color w:val="auto"/>
          <w:lang w:val="en-US" w:eastAsia="zh-CN"/>
        </w:rPr>
        <w:t>2、经济发展现状</w:t>
      </w:r>
    </w:p>
    <w:p>
      <w:pPr>
        <w:rPr>
          <w:rFonts w:hint="eastAsia"/>
          <w:color w:val="auto"/>
          <w:lang w:val="en-US" w:eastAsia="zh-CN"/>
        </w:rPr>
      </w:pPr>
      <w:r>
        <w:rPr>
          <w:rFonts w:hint="eastAsia"/>
          <w:color w:val="auto"/>
          <w:lang w:val="en-US" w:eastAsia="zh-CN"/>
        </w:rPr>
        <w:t>2020年，开阳区地区生产总值237.04亿元，同比增长7.2%。按不变价格计算，比上年同期增长7.2%，其中，第一产业增加值41.14亿元，增长6.5%；第二产业增加值87.81亿元，增长8.5%；第三产业增加值108.09亿元，增长6.4%。第一产业增加值占生产总值的比重为17%，与上年持平；第二产业增加值比重为37%，比上年下降1个百分点；第三产业增加值比重为46%，比上年上升2个百分点。人均生产总值68927元，增长21%。全年农林牧渔业总产值70.06亿元，增长6.6%，农业产值45.40亿元，增长7.2%，占全部农林牧渔业总产值的64.8%；畜牧业产值20.02亿元，增长5.8%，占全部农林牧渔业总产值的28.6%。</w:t>
      </w:r>
    </w:p>
    <w:p>
      <w:pPr>
        <w:rPr>
          <w:rFonts w:hint="eastAsia"/>
          <w:color w:val="auto"/>
          <w:lang w:val="en-US" w:eastAsia="zh-CN"/>
        </w:rPr>
      </w:pPr>
      <w:r>
        <w:rPr>
          <w:rFonts w:hint="eastAsia"/>
          <w:color w:val="auto"/>
          <w:lang w:val="en-US" w:eastAsia="zh-CN"/>
        </w:rPr>
        <w:t>全年规模以上工业总产值106.07亿元，比上年增长1.28%。实现增加值30.1亿元，增长11%。产品产销率95.18%，比上年下降5.5个百分点。国有及国有控股企业实现工业总产值69.1亿元，增长21%；股份制企业实现工业总产值103.04亿元，增长4.3%，外商及港澳台控股企业实现工业总产值2.88亿元，下降9.1%；其他经济类型企业实现工业总产值0.16亿元，下降19.7%。化学原料及化学制品制造业实现总产值57.98亿元，增长8.2%；非金属矿采选业实现总产值25.77亿元，增长34.7%；非金属矿物制品业实现总产值6.31亿元，下降36.2%；农副食品加工企业实现工业总产值1亿元，增长1.1%；电力、热力的生产和供应企业实现工业总产值4.6亿元，增长12.7%；酒、饮料和精制茶制造业实现工业总产值1.5亿元，下降61.4%。全年新引进产业项目72个，投资总额168.06亿元，完成全年目标任务的102.86%；省外到位资金91亿元，完成全年目标任务的101.11%。</w:t>
      </w:r>
    </w:p>
    <w:p>
      <w:pPr>
        <w:rPr>
          <w:rFonts w:hint="eastAsia"/>
          <w:color w:val="auto"/>
          <w:lang w:val="en-US" w:eastAsia="zh-CN"/>
        </w:rPr>
      </w:pPr>
      <w:r>
        <w:rPr>
          <w:rFonts w:hint="eastAsia"/>
          <w:color w:val="auto"/>
          <w:lang w:val="en-US" w:eastAsia="zh-CN"/>
        </w:rPr>
        <w:t>全年500万元及以上固定资产投资增长2.8%。其中建筑安装工程投资增长3%，基础设施投资下降23.3%，工业投资下降9.33%。按三次产业分，第一产业投资增长211.51%；第二产业投资下降9.33%；第三产业投资下降8.51%。</w:t>
      </w:r>
    </w:p>
    <w:p>
      <w:pPr>
        <w:rPr>
          <w:rFonts w:hint="eastAsia"/>
          <w:color w:val="auto"/>
          <w:lang w:val="en-US" w:eastAsia="zh-CN"/>
        </w:rPr>
      </w:pPr>
      <w:r>
        <w:rPr>
          <w:rFonts w:hint="eastAsia"/>
          <w:color w:val="auto"/>
          <w:lang w:val="en-US" w:eastAsia="zh-CN"/>
        </w:rPr>
        <w:t>2020年，居民消费价格同比上升2.49%，涨幅比2019年下降0.3个百分点，居民消费价格总水平控制在3.5%以内。全年社会消费品零售总额83.3亿元，增长3.9%。其中，城镇地区32.1亿元，增长5.5%;乡村地区51.2亿元，增长3.0%。</w:t>
      </w:r>
    </w:p>
    <w:p>
      <w:pPr>
        <w:rPr>
          <w:rFonts w:hint="eastAsia"/>
          <w:color w:val="auto"/>
          <w:lang w:val="en-US" w:eastAsia="zh-CN"/>
        </w:rPr>
      </w:pPr>
      <w:r>
        <w:rPr>
          <w:rFonts w:hint="eastAsia"/>
          <w:color w:val="auto"/>
          <w:lang w:val="en-US" w:eastAsia="zh-CN"/>
        </w:rPr>
        <w:t>全年接待国内旅游人数1508.31万人次；境外入境人数758人，其中，外国入境413人；港澳台同胞入境345人，过夜的境外旅游者18人。旅游总收入92.67亿元。</w:t>
      </w:r>
    </w:p>
    <w:p>
      <w:pPr>
        <w:rPr>
          <w:rFonts w:hint="eastAsia"/>
          <w:color w:val="auto"/>
          <w:lang w:val="en-US" w:eastAsia="zh-CN"/>
        </w:rPr>
      </w:pPr>
      <w:r>
        <w:rPr>
          <w:rFonts w:hint="eastAsia"/>
          <w:color w:val="auto"/>
          <w:lang w:val="en-US" w:eastAsia="zh-CN"/>
        </w:rPr>
        <w:t>3、产业发展现状</w:t>
      </w:r>
    </w:p>
    <w:p>
      <w:pPr>
        <w:rPr>
          <w:rFonts w:hint="eastAsia"/>
          <w:color w:val="auto"/>
          <w:lang w:val="en-US" w:eastAsia="zh-CN"/>
        </w:rPr>
      </w:pPr>
      <w:r>
        <w:rPr>
          <w:rFonts w:hint="eastAsia"/>
          <w:color w:val="auto"/>
          <w:lang w:val="en-US" w:eastAsia="zh-CN"/>
        </w:rPr>
        <w:t>“十三五”期间，根据十大千亿级产业集群发展目标，实施“双千工程”（“千企引进”和“千企改造”。“千企引进”，即引进国内外实力强、科技含量高、成长性好的企业1000家以上；“千企改造”，指对1000家以上规模以上传统产业企业实施改造升级），落实“以渣定产”（将磷石膏产生企业消纳磷石膏情况与磷酸等产品生产挂钩，倒逼企业加快磷石膏资源综合利用，确保磷石膏新增堆存量为零，并逐年消纳已有存量）政策。全年新引进工业项目28个，完成投资17.64亿元。新增规模以上工业企业4家，共73家。</w:t>
      </w:r>
    </w:p>
    <w:p>
      <w:pPr>
        <w:rPr>
          <w:rFonts w:hint="eastAsia"/>
          <w:color w:val="auto"/>
          <w:lang w:val="en-US" w:eastAsia="zh-CN"/>
        </w:rPr>
      </w:pPr>
      <w:r>
        <w:rPr>
          <w:rFonts w:hint="eastAsia"/>
          <w:b/>
          <w:bCs/>
          <w:color w:val="auto"/>
          <w:lang w:val="en-US" w:eastAsia="zh-CN"/>
        </w:rPr>
        <w:t>农业产业结构调整。</w:t>
      </w:r>
      <w:r>
        <w:rPr>
          <w:rFonts w:hint="eastAsia"/>
          <w:color w:val="auto"/>
          <w:lang w:val="en-US" w:eastAsia="zh-CN"/>
        </w:rPr>
        <w:t>构建“茶、菜、菌、竹、药、果”六大产业格局，完成产业结构调整4193公顷，调减低效籽粒玉米4400公顷；完成产业结构调整4193公顷，实现水果种植18160公顷，投产果园7867公顷，年产水果4.1万t；建成投产茶叶基地10193公顷，年产茶叶9820t；蔬菜播面23199公顷，蔬菜产量459971.4t；食用菌种植302公顷，产量3843.5t；建成高标准蔬菜基地533公顷。全县农产品加工企业累计320家，农产品加工转化率56.5%。</w:t>
      </w:r>
    </w:p>
    <w:p>
      <w:pPr>
        <w:rPr>
          <w:rFonts w:hint="eastAsia"/>
          <w:color w:val="auto"/>
          <w:lang w:val="en-US" w:eastAsia="zh-CN"/>
        </w:rPr>
      </w:pPr>
      <w:r>
        <w:rPr>
          <w:rFonts w:hint="eastAsia"/>
          <w:b/>
          <w:bCs/>
          <w:color w:val="auto"/>
          <w:lang w:val="en-US" w:eastAsia="zh-CN"/>
        </w:rPr>
        <w:t>结构调整持续推进，新旧动能转换进程加快。</w:t>
      </w:r>
      <w:r>
        <w:rPr>
          <w:rFonts w:hint="eastAsia"/>
          <w:color w:val="auto"/>
          <w:lang w:val="en-US" w:eastAsia="zh-CN"/>
        </w:rPr>
        <w:t>安达公司年产2万吨磷酸铁和3万吨磷酸铁锂、磷化集团3万吨无水氟化氢等项目相继建成投产，5万吨磷酸铁锂及配套、50万吨水处理药剂、60万吨磷石膏综合利用等项目建成投产；年产40万吨PPA、“钛-磷-硫-铁-钙”共生耦合绿色循环利用、2万吨/年磷酸铁锂配套5万吨/年磷酸铁技改扩建等项目加快推进，工业向新型化迈进；筑巢引凤强力推进，“1+4”开放平台建设如火如荼，成功引进胜威凯洋、江西正邦、同辉气体、神美科技等一批带动效应强、辐射面积广的重点企业入驻开阳。</w:t>
      </w:r>
    </w:p>
    <w:p>
      <w:pPr>
        <w:rPr>
          <w:rFonts w:hint="eastAsia"/>
          <w:color w:val="auto"/>
          <w:lang w:val="en-US" w:eastAsia="zh-CN"/>
        </w:rPr>
      </w:pPr>
      <w:r>
        <w:rPr>
          <w:rFonts w:hint="eastAsia"/>
          <w:color w:val="auto"/>
          <w:lang w:val="en-US" w:eastAsia="zh-CN"/>
        </w:rPr>
        <w:t>4、发展目标</w:t>
      </w:r>
    </w:p>
    <w:p>
      <w:pPr>
        <w:rPr>
          <w:rFonts w:hint="eastAsia"/>
          <w:color w:val="auto"/>
          <w:lang w:val="en-US" w:eastAsia="zh-CN"/>
        </w:rPr>
      </w:pPr>
      <w:r>
        <w:rPr>
          <w:rFonts w:hint="eastAsia"/>
          <w:color w:val="auto"/>
          <w:lang w:val="en-US" w:eastAsia="zh-CN"/>
        </w:rPr>
        <w:t>根据“十四五”总体要求，开阳县将—围绕“经济强、百姓富、生态美”，聚焦乡村大振兴、产业大集聚、通道大建设“三大任务”，构筑港城区、经开区、加工区“三大引擎”，贯彻新发展理念，以推动高质量发展为主题，全力推进新型工业化，围绕产业链薄弱环节和技术瓶颈，突出抓集群、抓链条、抓融合，加快引进产业链龙头项目和补链、强链、扩链的关键项目，推动以现代化工业为主导的新型工业化、以生态宜居为品质的新型城镇化、以富硒特色为品牌的农业现代化、以康养体验为引领的旅游产业化“四化同步”，努力实现与开阳区位优势相匹配、与资源禀赋相对等、与贵阳贵安大能级城市相适应的经济社会高质量发展。</w:t>
      </w:r>
    </w:p>
    <w:p>
      <w:pPr>
        <w:rPr>
          <w:rFonts w:hint="eastAsia"/>
          <w:color w:val="auto"/>
          <w:lang w:val="en-US" w:eastAsia="zh-CN"/>
        </w:rPr>
      </w:pPr>
      <w:r>
        <w:rPr>
          <w:rFonts w:hint="eastAsia"/>
          <w:color w:val="auto"/>
          <w:lang w:val="en-US" w:eastAsia="zh-CN"/>
        </w:rPr>
        <w:t>到2025年，开阳县工业总产值突破500亿元，力争800亿元，全力打造贵阳市泛北部千亿级现代化工产业核心支撑引领区。到2025年，将开阳经济开发区打造成500亿园区。</w:t>
      </w:r>
    </w:p>
    <w:p>
      <w:pPr>
        <w:rPr>
          <w:rFonts w:hint="eastAsia"/>
          <w:color w:val="auto"/>
          <w:lang w:val="en-US" w:eastAsia="zh-CN"/>
        </w:rPr>
      </w:pPr>
      <w:r>
        <w:rPr>
          <w:rFonts w:hint="eastAsia"/>
          <w:color w:val="auto"/>
          <w:lang w:val="en-US" w:eastAsia="zh-CN"/>
        </w:rPr>
        <w:t>5、重点任务</w:t>
      </w:r>
    </w:p>
    <w:p>
      <w:pPr>
        <w:rPr>
          <w:rFonts w:hint="eastAsia"/>
          <w:color w:val="auto"/>
          <w:lang w:val="en-US" w:eastAsia="zh-CN"/>
        </w:rPr>
      </w:pPr>
      <w:r>
        <w:rPr>
          <w:rFonts w:hint="eastAsia"/>
          <w:color w:val="auto"/>
          <w:lang w:val="en-US" w:eastAsia="zh-CN"/>
        </w:rPr>
        <w:t>（1）全力推进新型工业化，做大做强首位产业。是强化落实企业包保服务，加快推动项目落地。深化政企合作，严格落实领导联系包保服务，全力推进宁德时代锂电池材料产业链基地、中伟新材料20万吨磷酸铁锂、磷化集团10万吨六氟磷酸锂、江苏一夫年消耗310万吨磷石膏综合利用、司尔特300万吨磷矿石扩能技改等项目在2022年顺利开工建成投产；推动深圳小冶科技、胜泽威一期等项目尽快投产达产。二是强化产业延链补链，加快传统产业转型升级。聚焦新能源核心主材正极材料和电解液，全力推进产业链配套项目建设，加快构建“磷-硫-铁-氟”共生耦合、绿色循环的新能源产业体系，支持安达科技磷酸铁锂产能从2万吨提高到20万吨，胜威凯洋构建100亿级“钛-硫-磷-铁”循环产业链。三是强化资源配置，提升产业集聚承载能力。</w:t>
      </w:r>
    </w:p>
    <w:p>
      <w:pPr>
        <w:rPr>
          <w:rFonts w:hint="eastAsia"/>
          <w:color w:val="auto"/>
          <w:lang w:val="en-US" w:eastAsia="zh-CN"/>
        </w:rPr>
      </w:pPr>
      <w:r>
        <w:rPr>
          <w:rFonts w:hint="eastAsia"/>
          <w:color w:val="auto"/>
          <w:lang w:val="en-US" w:eastAsia="zh-CN"/>
        </w:rPr>
        <w:t>（2）全力培育壮大市场主体。深入实施“千企引进”、“千企改造”工程，充分发挥龙头骨干企业引领支撑作用，引进培育一批细分行业和细分市场领军企业，促进大中小企业融通发展，增强企业发展后劲，夯实产业发展基础。全力实施工业市场主体培育工程，按照“引进一批、培育一批、提升一批”的工作思路，动态建立规模以上工业企业培育库，制定规模以上工业企业培育计划，分年度明确规模以上工业企业培育目标，加强政策扶持和跟踪服务，加大省、市、区有关新增培育入库上规工业企业政策的宣传落实，加大对新增上规工业企业指导扶持力度，及时兑现省市奖励资金和区配套奖励资金。</w:t>
      </w:r>
    </w:p>
    <w:p>
      <w:pPr>
        <w:rPr>
          <w:rFonts w:hint="eastAsia"/>
          <w:color w:val="auto"/>
          <w:lang w:val="en-US" w:eastAsia="zh-CN"/>
        </w:rPr>
      </w:pPr>
      <w:r>
        <w:rPr>
          <w:rFonts w:hint="eastAsia"/>
          <w:color w:val="auto"/>
          <w:lang w:val="en-US" w:eastAsia="zh-CN"/>
        </w:rPr>
        <w:t>（3）创新引领转型升级。以创新为引领的信息化、智能化，是现代工业发展的趋势。以创新引领转型升级，把创新作为引领发展的第一动力，明确创新风向标，扩大创新工作面，贯通创新价值链，优化创新生态圈，启动实施创新产业引领、原创成果转化、标志品牌创建、创新生态建设等工程。实现工业由大到强的战略转变和新旧动力的顺利转换，围绕现代磷系化工产业，大力培植发展先进制造业和战略性新兴产业。园区转型升级发展规划总体思路瞄准磷系新材料产业园高端化、安全化、绿色化发展方向，围绕产业链、供应链、创新链，大力推动磷系新材料产业上下游配套、集群化发展。构建“钛、硫、磷、铁、氟、硅、碘”耦合的产业体系，大力推进现有产业结构战略性调整，深入招引和培育优质项目，不断提升园区发展质效。</w:t>
      </w:r>
    </w:p>
    <w:p>
      <w:pPr>
        <w:rPr>
          <w:rFonts w:hint="eastAsia"/>
          <w:color w:val="auto"/>
          <w:lang w:val="en-US" w:eastAsia="zh-CN"/>
        </w:rPr>
      </w:pPr>
      <w:r>
        <w:rPr>
          <w:rFonts w:hint="eastAsia"/>
          <w:color w:val="auto"/>
          <w:lang w:val="en-US" w:eastAsia="zh-CN"/>
        </w:rPr>
        <w:t>（4）全力推动开发区高质量发展。坚持以发展产业为主要功能，理顺开发区体制机制，加大开发区基础设施投入，推动产业和要素资源向开发区聚集，将开发区打造成为新型工业化发展实现工业大突破的主阵地和主战场。</w:t>
      </w:r>
    </w:p>
    <w:p>
      <w:pPr>
        <w:rPr>
          <w:rFonts w:hint="eastAsia"/>
          <w:color w:val="auto"/>
          <w:lang w:val="en-US" w:eastAsia="zh-CN"/>
        </w:rPr>
      </w:pPr>
      <w:r>
        <w:rPr>
          <w:rFonts w:hint="eastAsia"/>
          <w:color w:val="auto"/>
          <w:lang w:val="en-US" w:eastAsia="zh-CN"/>
        </w:rPr>
        <w:t>加快建成一批特色产业园区。突出工业产业发展功能，按照“一园一特色”原则，科学合理制定园区产业规划，确定主导产业、潜力产业，围绕产业链加强项目谋划、项目招引、企业培育，全力打造一批特色产业园区。推动工投公司孵化产业园建成运营，以发展“磷系新材料、新能源材料”产业为主链，氯碱化工、新型建材为辅链，延链发展氟材料、钛材料，培育壮大铝基新材料产业和现代物流业，构建“钛、硫、磷、铁、氟、硅、碘”共生耦合绿色循环的现代化工产业体系。</w:t>
      </w:r>
    </w:p>
    <w:p>
      <w:pPr>
        <w:rPr>
          <w:rFonts w:hint="eastAsia"/>
          <w:color w:val="auto"/>
          <w:lang w:val="en-US" w:eastAsia="zh-CN"/>
        </w:rPr>
      </w:pPr>
      <w:r>
        <w:rPr>
          <w:rFonts w:hint="eastAsia"/>
          <w:color w:val="auto"/>
          <w:lang w:val="en-US" w:eastAsia="zh-CN"/>
        </w:rPr>
        <w:t>加快推进标准厂房建设。坚持盘活存量、做精增量，按照“合理规划、相对集中、集约用地、产业集聚、功能配套”的原则，加强标准厂房规划建设，整合政府、企业和投资商资源，大力吸引各类具备开发资质的投资开发主体参与开发区标准厂房建设。加强标准厂房分类管理和考核，引导中小企业、投资额亿元以下项目入驻标准厂房，提升标准厂房利用率。对园区闲置标准厂房进行清理，制定措施进行置换或回收，有效盘活存量资产。</w:t>
      </w:r>
    </w:p>
    <w:p>
      <w:pPr>
        <w:rPr>
          <w:rFonts w:hint="eastAsia"/>
          <w:color w:val="auto"/>
          <w:lang w:val="en-US" w:eastAsia="zh-CN"/>
        </w:rPr>
      </w:pPr>
      <w:r>
        <w:rPr>
          <w:rFonts w:hint="eastAsia"/>
          <w:color w:val="auto"/>
          <w:lang w:val="en-US" w:eastAsia="zh-CN"/>
        </w:rPr>
        <w:t>按照开发区集中区达到“七通一平”以上标准，大力实施开发区建设攻坚计划，将供电、供气、给排水、排污等基础配套设施纳入园区基础配套设施建设项目统一调度，强力推进园区基础配套设施建设，原则上已出让或纳入年度出让计划地块周边的基础配套设施当年建成并具备运行条件。加快推进配套设施建设，着力打造配套更加完善的园区硬环境，提升园区综合承载能力。</w:t>
      </w:r>
    </w:p>
    <w:p>
      <w:pPr>
        <w:rPr>
          <w:rFonts w:hint="eastAsia"/>
          <w:color w:val="auto"/>
          <w:lang w:val="en-US" w:eastAsia="zh-CN"/>
        </w:rPr>
      </w:pPr>
      <w:r>
        <w:rPr>
          <w:rFonts w:hint="eastAsia"/>
          <w:color w:val="auto"/>
          <w:lang w:val="en-US" w:eastAsia="zh-CN"/>
        </w:rPr>
        <w:t>（5）全力提高工业创新能力。坚持把创新摆在工业发展的重要位置，以企业为主体、以市场为导向，推动科技创新及科研成果应用转化，加快新旧动能转换。</w:t>
      </w:r>
    </w:p>
    <w:p>
      <w:pPr>
        <w:rPr>
          <w:rFonts w:hint="eastAsia"/>
          <w:color w:val="auto"/>
          <w:lang w:val="en-US" w:eastAsia="zh-CN"/>
        </w:rPr>
      </w:pPr>
      <w:r>
        <w:rPr>
          <w:rFonts w:hint="eastAsia"/>
          <w:color w:val="auto"/>
          <w:lang w:val="en-US" w:eastAsia="zh-CN"/>
        </w:rPr>
        <w:t>推动企业技术创新。强化企业创新主体地位，鼓励“大众创新万众创业”，促进各类技术创新要素向企业聚集。加强重点领域科技创新和科研成果保护，支持新产品、新技术、新工艺、新配方等科技成果的集成应用和产业化。鼓励企业开展知识产权评估，引导政策性基金和风险投资、国有资本等支持企业科技成果产业化。深入实施“万企融合”工程，建立智能制造分级培养体系，推动企业向信息化、网络化、智能化方向梯次推进。鼓励引导工业企业有序实施生产装备的智能化改造，推广应用工业机器人，提升研发、生产、管理的智能化水平。支持行业重点企业建立贯穿研发设计、原料供应、生产制造、营销服务等产品全生命周期的信息集成平台，提升定制化、个性化生产和服务能力，推动工业企业向服务型制造转变。</w:t>
      </w:r>
    </w:p>
    <w:p>
      <w:pPr>
        <w:rPr>
          <w:rFonts w:hint="eastAsia"/>
          <w:color w:val="auto"/>
          <w:lang w:val="en-US" w:eastAsia="zh-CN"/>
        </w:rPr>
      </w:pPr>
      <w:r>
        <w:rPr>
          <w:rFonts w:hint="eastAsia"/>
          <w:color w:val="auto"/>
          <w:lang w:val="en-US" w:eastAsia="zh-CN"/>
        </w:rPr>
        <w:t>（6）提升工业绿色化发展水平。坚持生态产业化、产业生态化，严格环保标准，大力推行清洁生产和资源节约与综合利用，提升工业可持续发展能力。鼓励企业建立能源管理体系，完善资源能源消耗定额管理，建立节能降耗责任制，利用先进适用的节能降耗技术、工艺和装备实施技术改造，提高资源能源集约化管理水平，打造一批绿色园区、绿色工厂、绿色产品。推动企业开展能源管理体系认证、环境管理体系认证、节水节材评价，树立绿色制造标杆。全面落实国家能耗“双控”政策，坚决完成国家、省、市下达工业节能目标任务。以节能节水、清洁生产等技术改造为重点，推动余热余压利用、能量系统优化和提升配电变压器能效等工业节能技改。抓好重点用能企业、重点用能设备的节能监察和分析诊断。</w:t>
      </w:r>
    </w:p>
    <w:p>
      <w:pPr>
        <w:rPr>
          <w:rFonts w:hint="eastAsia"/>
          <w:color w:val="auto"/>
          <w:lang w:val="en-US" w:eastAsia="zh-CN"/>
        </w:rPr>
      </w:pPr>
      <w:r>
        <w:rPr>
          <w:rFonts w:hint="eastAsia"/>
          <w:color w:val="auto"/>
          <w:lang w:val="en-US" w:eastAsia="zh-CN"/>
        </w:rPr>
        <w:t>6、能源消费情况</w:t>
      </w:r>
    </w:p>
    <w:p>
      <w:pPr>
        <w:rPr>
          <w:rFonts w:hint="eastAsia"/>
          <w:color w:val="auto"/>
          <w:lang w:val="en-US" w:eastAsia="zh-CN"/>
        </w:rPr>
      </w:pPr>
      <w:r>
        <w:rPr>
          <w:rFonts w:hint="eastAsia"/>
          <w:color w:val="auto"/>
          <w:lang w:val="en-US" w:eastAsia="zh-CN"/>
        </w:rPr>
        <w:t>根据贵阳市2021年统计年鉴，2020年开阳县地区生产237.04亿元，能源消费总量404.98万吨标准煤，单位地区生产总值能耗1.7085吨标准煤/万元，同比降低6.5%。</w:t>
      </w:r>
    </w:p>
    <w:p>
      <w:pPr>
        <w:ind w:left="0" w:leftChars="0" w:firstLine="0" w:firstLineChars="0"/>
        <w:jc w:val="center"/>
        <w:rPr>
          <w:rFonts w:hint="eastAsia" w:eastAsia="黑体"/>
          <w:color w:val="auto"/>
          <w:lang w:eastAsia="zh-CN"/>
        </w:rPr>
      </w:pPr>
      <w:r>
        <w:rPr>
          <w:rFonts w:hint="eastAsia" w:eastAsia="黑体"/>
          <w:color w:val="auto"/>
          <w:lang w:eastAsia="zh-CN"/>
        </w:rPr>
        <w:drawing>
          <wp:inline distT="0" distB="0" distL="114300" distR="114300">
            <wp:extent cx="5027295" cy="5921375"/>
            <wp:effectExtent l="0" t="0" r="1905" b="6985"/>
            <wp:docPr id="11" name="图片 11" descr="16480006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48000620(1)"/>
                    <pic:cNvPicPr>
                      <a:picLocks noChangeAspect="1"/>
                    </pic:cNvPicPr>
                  </pic:nvPicPr>
                  <pic:blipFill>
                    <a:blip r:embed="rId9"/>
                    <a:stretch>
                      <a:fillRect/>
                    </a:stretch>
                  </pic:blipFill>
                  <pic:spPr>
                    <a:xfrm>
                      <a:off x="0" y="0"/>
                      <a:ext cx="5027295" cy="5921375"/>
                    </a:xfrm>
                    <a:prstGeom prst="rect">
                      <a:avLst/>
                    </a:prstGeom>
                  </pic:spPr>
                </pic:pic>
              </a:graphicData>
            </a:graphic>
          </wp:inline>
        </w:drawing>
      </w:r>
    </w:p>
    <w:p>
      <w:pPr>
        <w:bidi w:val="0"/>
        <w:jc w:val="center"/>
        <w:rPr>
          <w:rFonts w:hint="eastAsia"/>
          <w:color w:val="auto"/>
          <w:lang w:val="en-US" w:eastAsia="zh-CN"/>
        </w:rPr>
      </w:pPr>
      <w:r>
        <w:rPr>
          <w:rFonts w:hint="eastAsia"/>
          <w:color w:val="auto"/>
          <w:lang w:val="en-US" w:eastAsia="zh-CN"/>
        </w:rPr>
        <w:t>图2-1开阳县区位图</w:t>
      </w:r>
    </w:p>
    <w:p>
      <w:pPr>
        <w:pStyle w:val="4"/>
        <w:bidi w:val="0"/>
        <w:rPr>
          <w:rFonts w:hint="eastAsia"/>
          <w:color w:val="auto"/>
          <w:lang w:val="en-US" w:eastAsia="zh-CN"/>
        </w:rPr>
      </w:pPr>
      <w:bookmarkStart w:id="12" w:name="_Toc1231"/>
      <w:r>
        <w:rPr>
          <w:rFonts w:hint="eastAsia"/>
          <w:color w:val="auto"/>
          <w:lang w:val="en-US" w:eastAsia="zh-CN"/>
        </w:rPr>
        <w:t>2.1.2 开阳经济开发区发展现状</w:t>
      </w:r>
      <w:bookmarkEnd w:id="12"/>
    </w:p>
    <w:p>
      <w:pPr>
        <w:rPr>
          <w:rFonts w:hint="eastAsia"/>
          <w:color w:val="auto"/>
          <w:lang w:val="en-US" w:eastAsia="zh-CN"/>
        </w:rPr>
      </w:pPr>
      <w:r>
        <w:rPr>
          <w:rFonts w:hint="eastAsia"/>
          <w:color w:val="auto"/>
          <w:lang w:val="en-US" w:eastAsia="zh-CN"/>
        </w:rPr>
        <w:t>1、园区概况</w:t>
      </w:r>
    </w:p>
    <w:p>
      <w:pPr>
        <w:rPr>
          <w:rFonts w:hint="eastAsia"/>
          <w:color w:val="auto"/>
          <w:lang w:val="en-US" w:eastAsia="zh-CN"/>
        </w:rPr>
      </w:pPr>
      <w:r>
        <w:rPr>
          <w:rFonts w:hint="eastAsia"/>
          <w:color w:val="auto"/>
          <w:lang w:val="en-US" w:eastAsia="zh-CN"/>
        </w:rPr>
        <w:t>2011年12月1日，贵州省人民政府办公厅以（黔府函〔2011〕428号）《省人民政府关于同意设立贵州开阳经济开发区的批复》批准建立贵州开阳经济开发区；规划选址位于开阳县双流镇、永水乡、金钟镇结合部。</w:t>
      </w:r>
    </w:p>
    <w:p>
      <w:pPr>
        <w:rPr>
          <w:rFonts w:hint="eastAsia"/>
          <w:color w:val="auto"/>
          <w:lang w:val="en-US" w:eastAsia="zh-CN"/>
        </w:rPr>
      </w:pPr>
      <w:r>
        <w:rPr>
          <w:rFonts w:hint="eastAsia"/>
          <w:color w:val="auto"/>
          <w:lang w:val="en-US" w:eastAsia="zh-CN"/>
        </w:rPr>
        <w:t>2018年03月，国家发展改革委、科技部、国土资源部、住房城乡建设部、商务部、海关总署发布了2018年第4号公告《中国开发区审核公告目录》（以下简称《目录》），目录明确了贵州省共有64家开发区，其中，国家级开发区7家，省级开发区57家，贵州开阳经济开发区属于省级开发区以煤化工、建材为主导产业。</w:t>
      </w:r>
    </w:p>
    <w:p>
      <w:pPr>
        <w:rPr>
          <w:rFonts w:hint="eastAsia"/>
          <w:color w:val="auto"/>
          <w:lang w:val="en-US" w:eastAsia="zh-CN"/>
        </w:rPr>
      </w:pPr>
      <w:r>
        <w:rPr>
          <w:rFonts w:hint="eastAsia"/>
          <w:color w:val="auto"/>
          <w:lang w:val="en-US" w:eastAsia="zh-CN"/>
        </w:rPr>
        <w:t>贵州开阳经济开发区坚持“循环经济、生态工业”的发展理念，发挥磷矿及其伴生资源储量和化工产业基础优势，着力发展现代化工产业，重点发展“磷煤化工、新能源材料、铝及铝加工”三大产业，配套发展黄磷尾气、磷渣、磷石膏等工业“三废”综合利用以及氟硅化工、碘化工等磷矿伴生资源综合利用产业。现有产品产能包括年产310万吨磷酸二铵、45万吨磷酸一铵、50万吨合成氨、10万吨黄磷、3万吨磷酸铁、2万吨磷酸铁锂、30万吨棕刚玉磨料、6万吨甲酸钠/甲酸钾、120万吨磷渣水泥、60万吨磷石膏建材、5万吨三聚磷酸钠等。磷矿开采规模占全省的38%，湿法磷酸产能占全省的47.2%，磷酸二铵产能占全省的54.7%，黄磷产能占全省的34.4%，是全省磷化工产业的重要组成部分和主战场。贵州开阳经济开发区经过20年的发展，先后获得“国家级磷煤化工生态工业示范基地”、“国家新型工业化产业示范基地”、“贵州省511园区”、“贵州省新型工业化产业示范基地”等荣誉称号。</w:t>
      </w:r>
    </w:p>
    <w:p>
      <w:pPr>
        <w:rPr>
          <w:rFonts w:hint="eastAsia"/>
          <w:color w:val="auto"/>
          <w:lang w:val="en-US" w:eastAsia="zh-CN"/>
        </w:rPr>
      </w:pPr>
      <w:r>
        <w:rPr>
          <w:rFonts w:hint="eastAsia"/>
          <w:color w:val="auto"/>
          <w:lang w:val="en-US" w:eastAsia="zh-CN"/>
        </w:rPr>
        <w:t>开发区包括六个片区。即：经开核心区、双流片区、金中片区、大坝片区、龙岗富硒产业园、其他。经开核心区东至那卡河，南至久永铁路，西、北抵贵遵高速复线和354国道，主要产业为新能源电池正极材料；双流片区，主要产业为新能源电池电解液材料；金中片区沿洋水河分布，主要产业为采矿、化工基础原料、伴生资源及固废综合利用；大坝片区南至息开高速，东至马鞍山，北至洞口，西至洋水河，主要产业为新能源电池材料；龙岗富硒产业园，主要产业为特色农产品加工。</w:t>
      </w:r>
    </w:p>
    <w:p>
      <w:pPr>
        <w:rPr>
          <w:rFonts w:hint="eastAsia"/>
          <w:color w:val="auto"/>
          <w:lang w:val="en-US" w:eastAsia="zh-CN"/>
        </w:rPr>
      </w:pPr>
      <w:r>
        <w:rPr>
          <w:rFonts w:hint="eastAsia"/>
          <w:color w:val="auto"/>
          <w:lang w:val="en-US" w:eastAsia="zh-CN"/>
        </w:rPr>
        <w:t>2、开发区建设现状</w:t>
      </w:r>
    </w:p>
    <w:p>
      <w:pPr>
        <w:rPr>
          <w:rFonts w:hint="eastAsia"/>
          <w:color w:val="auto"/>
          <w:lang w:val="en-US" w:eastAsia="zh-CN"/>
        </w:rPr>
      </w:pPr>
      <w:r>
        <w:rPr>
          <w:rFonts w:hint="eastAsia"/>
          <w:color w:val="auto"/>
          <w:lang w:val="en-US" w:eastAsia="zh-CN"/>
        </w:rPr>
        <w:t>依据开发区发展规划，目前建设情况如下：</w:t>
      </w:r>
    </w:p>
    <w:p>
      <w:pPr>
        <w:rPr>
          <w:rFonts w:hint="eastAsia"/>
          <w:color w:val="auto"/>
          <w:lang w:val="en-US" w:eastAsia="zh-CN"/>
        </w:rPr>
      </w:pPr>
      <w:r>
        <w:rPr>
          <w:rFonts w:hint="eastAsia"/>
          <w:color w:val="auto"/>
          <w:lang w:val="en-US" w:eastAsia="zh-CN"/>
        </w:rPr>
        <w:t>（1）已入驻企业</w:t>
      </w:r>
    </w:p>
    <w:p>
      <w:pPr>
        <w:rPr>
          <w:rFonts w:hint="eastAsia"/>
          <w:color w:val="auto"/>
          <w:lang w:val="en-US" w:eastAsia="zh-CN"/>
        </w:rPr>
      </w:pPr>
      <w:r>
        <w:rPr>
          <w:rFonts w:hint="eastAsia"/>
          <w:color w:val="auto"/>
          <w:lang w:val="en-US" w:eastAsia="zh-CN"/>
        </w:rPr>
        <w:t>开发区经过多年产业发展，形成了一定的产业规模，截至2021年，全区规模以上工业企业34家，其中，核心区主要有贵州安达科技能源股份有限公司、开阳石达天然气有限公司、贵州开阳化工有限公司、空气化工（贵阳）有限公司、开阳同辉气体有限公司等企业；双流片区企业主要有贵州新天鑫化工有限公司、贵州开阳川东化工有限公司、贵州胜威凯洋化工有限公司、贵州开阳三环磨料有限公司、贵州开阳宏艺精工实业有限公司、贵州开阳青利天盟化工有限公司、贵州开阳双阳磷矿有限公司、贵州菲尔特建材有限公司、贵州开阳白马磷肥有限公司、贵州台农青印迹饲料发展有限公司、贵州开阳通筑混凝土有限公司、贵州开阳惜缘商品混凝土有限公司等企业；金中片区主要有贵州瓮福开磷氟硅新材料有限公司、贵州政立矿业有限公司、贵州开磷有限责任公司、贵州路发实业有限公司等企业；龙岗富硒产业园主要企业有南方乳业有限公司、贵州双壶堂药业有限公司、贵州乐葵食品有限公司、开阳农汇果业有限公司、开阳山野农业发展有限公司、贵州粉龙王食品有限公司、贵州台今农业科技有限公司、贵阳汇乐食品有限公司、贵州苗修堂医药科技有限公司、贵州金硒源食品有限公司、贵州岚宇茶业有限公司等企业。</w:t>
      </w:r>
    </w:p>
    <w:p>
      <w:pPr>
        <w:rPr>
          <w:rFonts w:hint="eastAsia"/>
          <w:color w:val="auto"/>
          <w:lang w:val="en-US" w:eastAsia="zh-CN"/>
        </w:rPr>
      </w:pPr>
      <w:r>
        <w:rPr>
          <w:rFonts w:hint="eastAsia"/>
          <w:color w:val="auto"/>
          <w:lang w:val="en-US" w:eastAsia="zh-CN"/>
        </w:rPr>
        <w:t>开发区目前基本形成“两大主链”“两条辅链”和“两条延伸链”产业体系发展布局，以发展“磷系新材料、新能源材料”产业为主链，氯碱化工、新型建材为辅链，延链发展氟材料、钛材料，培育壮大铝基新材料产业和现代物流业，构建“钛、硫、磷、铁、氟、硅、碘”共生耦合绿色循环的现代化工产业体系，培育铝基新材料和现代物流业园。</w:t>
      </w:r>
    </w:p>
    <w:p>
      <w:pPr>
        <w:rPr>
          <w:rFonts w:hint="eastAsia"/>
          <w:color w:val="auto"/>
          <w:lang w:val="en-US" w:eastAsia="zh-CN"/>
        </w:rPr>
      </w:pPr>
      <w:r>
        <w:rPr>
          <w:rFonts w:hint="eastAsia"/>
          <w:color w:val="auto"/>
          <w:lang w:val="en-US" w:eastAsia="zh-CN"/>
        </w:rPr>
        <w:t>经开核心区现有产业为安达科技磷酸铁锂、重庆国辰科技年产10万吨（27.5%）双氧水项目（在建）。未来发展方向为新型建材（贯彻落实磷石膏“以渣定产”政策，以金中、双流磷石膏作为建材的原料）；新能源材料（依托现状磷酸铁锂、双氧水生产项目以及其他组团产品作为原材料优势，布局科技含量高、附加值高的新能源材料）；现代物流（依托茶场铁路货运站发展现代物流）。</w:t>
      </w:r>
    </w:p>
    <w:p>
      <w:pPr>
        <w:rPr>
          <w:rFonts w:hint="eastAsia"/>
          <w:color w:val="auto"/>
          <w:lang w:val="en-US" w:eastAsia="zh-CN"/>
        </w:rPr>
      </w:pPr>
      <w:r>
        <w:rPr>
          <w:rFonts w:hint="eastAsia"/>
          <w:color w:val="auto"/>
          <w:lang w:val="en-US" w:eastAsia="zh-CN"/>
        </w:rPr>
        <w:t>金中片区现有产业为贵州磷化集团磷肥产业及配套设施。在维持磷酸产能规模的基础上，大力发展磷系新材料，积极发展下游精细化产品，实现磷酸梯级利用；以磷肥副产氟化氢投产为契机，扩大规模，使金中片区成为氟化工原料供应基地；大力推进磷石膏综合利用。</w:t>
      </w:r>
    </w:p>
    <w:p>
      <w:pPr>
        <w:rPr>
          <w:rFonts w:hint="eastAsia"/>
          <w:color w:val="auto"/>
          <w:lang w:val="en-US" w:eastAsia="zh-CN"/>
        </w:rPr>
      </w:pPr>
      <w:r>
        <w:rPr>
          <w:rFonts w:hint="eastAsia"/>
          <w:color w:val="auto"/>
          <w:lang w:val="en-US" w:eastAsia="zh-CN"/>
        </w:rPr>
        <w:t>双流片区目前主打黄磷及磷肥产业；三环磨料厂的棕刚玉、蓝刚玉等产品。后期考虑发展磷系新材料（依托现有黄磷及磷肥产业基础，重点发展黄磷后加工、尾气废渣综合利用、磷硫钛循环经济产业）；铝基新材料（依托三环磨料年产10万吨棕刚玉产能、技术、市场等优势，重点建设年产10万吨蓝刚玉、10万吨半脆刚玉、20万吨镁铝复合刚玉等项目）；钛材料（依托胜威凯洋与路发化工合作，在盘活路发化工硫酸产能与湿法磷酸产能的同时，胜威凯洋引入钛铁粉采用硫酸水解法合成钛白粉）；现代物流（陶家坝依托铁路货运站发展现代物流）。</w:t>
      </w:r>
    </w:p>
    <w:p>
      <w:pPr>
        <w:rPr>
          <w:rFonts w:hint="eastAsia"/>
          <w:color w:val="auto"/>
          <w:lang w:val="en-US" w:eastAsia="zh-CN"/>
        </w:rPr>
      </w:pPr>
      <w:r>
        <w:rPr>
          <w:rFonts w:hint="eastAsia"/>
          <w:color w:val="auto"/>
          <w:lang w:val="en-US" w:eastAsia="zh-CN"/>
        </w:rPr>
        <w:t>永温乡山片区目前产业为开阳化工50万吨/年合成氨装置。未来将以氟材料（重点承接金中片区副产氟化氢加工，以补链、强链为抓手，建设氟材料产业园，发展氟化氢下游氟材料、氟精细化学品、ODS替代品等产品）、氯碱化工（建设30万吨/年烧碱装置，不仅为本片区提供所需氯气，还能为其他片区供应氯气）方向发展。</w:t>
      </w:r>
    </w:p>
    <w:p>
      <w:pPr>
        <w:rPr>
          <w:rFonts w:hint="eastAsia"/>
          <w:color w:val="auto"/>
          <w:lang w:val="en-US" w:eastAsia="zh-CN"/>
        </w:rPr>
      </w:pPr>
      <w:r>
        <w:rPr>
          <w:rFonts w:hint="eastAsia"/>
          <w:color w:val="auto"/>
          <w:lang w:val="en-US" w:eastAsia="zh-CN"/>
        </w:rPr>
        <w:t>永温大坝片区目前暂无产业入驻，将作为中远期化工园区拓展用地、以及规划发展新材料、精细化工、高端专用化学品及相关上下游产业。</w:t>
      </w:r>
    </w:p>
    <w:p>
      <w:pPr>
        <w:rPr>
          <w:rFonts w:hint="eastAsia"/>
          <w:color w:val="auto"/>
          <w:lang w:val="en-US" w:eastAsia="zh-CN"/>
        </w:rPr>
      </w:pPr>
      <w:r>
        <w:rPr>
          <w:rFonts w:hint="eastAsia"/>
          <w:color w:val="auto"/>
          <w:lang w:val="en-US" w:eastAsia="zh-CN"/>
        </w:rPr>
        <w:t>（2）拟入驻企业</w:t>
      </w:r>
    </w:p>
    <w:p>
      <w:pPr>
        <w:rPr>
          <w:rFonts w:hint="eastAsia"/>
          <w:color w:val="auto"/>
          <w:lang w:val="en-US" w:eastAsia="zh-CN"/>
        </w:rPr>
      </w:pPr>
      <w:r>
        <w:rPr>
          <w:rFonts w:hint="eastAsia"/>
          <w:color w:val="auto"/>
          <w:lang w:val="en-US" w:eastAsia="zh-CN"/>
        </w:rPr>
        <w:t>经过开发区管委会的招商引资，至2021年，开发区内拟入住企业共计40家（含部分原有企业改扩建），主要包括改扩建项目：贵州瓮福开磷氟硅新材料有限公司、贵州开磷集团矿肥有限责任公司、贵州开磷有限责任公司、贵州力均石膏建材有限公司、贵州双赢生态肥有限公司、贵州开阳川东化工有限公司、贵州开阳化工有限公司等；在建项目：神美科技（贵州）有限公司、贵州星龙耀新型建材有限公司、贵州艾德瑞智能科技有限公司、贵州赛邦科技发展有限公司、贵阳富开新材料有限公司、贵州普林鑫泰塑木科技有限公司、贵州福安投资管理有限公司、小冶科技、贵州安达科技能源股份有限公司等；在谈项目：中伟新材料股份有限公司、贵州好百年住宅工业有限公司、贵州磷化（集团）有限公司、重庆国辰科技有限公司、湖南中科电气股份有限公司、安徽省司尔特肥业股份有限公司等。</w:t>
      </w:r>
    </w:p>
    <w:p>
      <w:pPr>
        <w:rPr>
          <w:rFonts w:hint="eastAsia"/>
          <w:color w:val="auto"/>
          <w:lang w:val="en-US" w:eastAsia="zh-CN"/>
        </w:rPr>
      </w:pPr>
      <w:r>
        <w:rPr>
          <w:rFonts w:hint="eastAsia"/>
          <w:color w:val="auto"/>
          <w:lang w:val="en-US" w:eastAsia="zh-CN"/>
        </w:rPr>
        <w:t>3、开发区规模以上工业企业经济简况</w:t>
      </w:r>
    </w:p>
    <w:p>
      <w:pPr>
        <w:rPr>
          <w:rFonts w:hint="eastAsia"/>
          <w:color w:val="auto"/>
          <w:lang w:val="en-US" w:eastAsia="zh-CN"/>
        </w:rPr>
      </w:pPr>
      <w:r>
        <w:rPr>
          <w:rFonts w:hint="eastAsia"/>
          <w:color w:val="auto"/>
          <w:lang w:val="en-US" w:eastAsia="zh-CN"/>
        </w:rPr>
        <w:t>2020年，由于疫情影响及环保整改，开发区内多家企业未正常生产，完成规模以上工业总产值107.43亿元，完成规模以上工业增加值29.79亿元；</w:t>
      </w:r>
    </w:p>
    <w:p>
      <w:pPr>
        <w:rPr>
          <w:rFonts w:hint="eastAsia"/>
          <w:color w:val="auto"/>
          <w:lang w:val="en-US" w:eastAsia="zh-CN"/>
        </w:rPr>
      </w:pPr>
      <w:r>
        <w:rPr>
          <w:rFonts w:hint="eastAsia"/>
          <w:color w:val="auto"/>
          <w:lang w:val="en-US" w:eastAsia="zh-CN"/>
        </w:rPr>
        <w:t>2019年规模以上工业企业产值比2018年下降了26.5%，工业增加值下降了25.7%；2020年规模以上工业企业产值比2019年下降了24.76%，工业增加值下降了23.6%。如下表2-3所示：</w:t>
      </w:r>
    </w:p>
    <w:p>
      <w:pPr>
        <w:ind w:left="0" w:leftChars="0" w:firstLine="0" w:firstLineChars="0"/>
        <w:jc w:val="center"/>
        <w:rPr>
          <w:rFonts w:hint="eastAsia"/>
          <w:color w:val="auto"/>
          <w:lang w:val="en-US" w:eastAsia="zh-CN"/>
        </w:rPr>
      </w:pPr>
      <w:r>
        <w:rPr>
          <w:rFonts w:hint="eastAsia"/>
          <w:color w:val="auto"/>
          <w:lang w:val="en-US" w:eastAsia="zh-CN"/>
        </w:rPr>
        <w:t>表2-2  2018-2020年开发区规模以上工业产值及工业增加值一览表</w:t>
      </w:r>
    </w:p>
    <w:tbl>
      <w:tblPr>
        <w:tblStyle w:val="11"/>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27"/>
        <w:gridCol w:w="1185"/>
        <w:gridCol w:w="3111"/>
        <w:gridCol w:w="33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仿宋_GB2312" w:hAnsi="宋体" w:eastAsia="仿宋_GB2312" w:cs="仿宋_GB2312"/>
                <w:b w:val="0"/>
                <w:bCs w:val="0"/>
                <w:i w:val="0"/>
                <w:iCs w:val="0"/>
                <w:color w:val="auto"/>
                <w:kern w:val="0"/>
                <w:sz w:val="21"/>
                <w:szCs w:val="21"/>
                <w:u w:val="none"/>
                <w:lang w:val="en-US" w:eastAsia="zh-CN" w:bidi="ar"/>
              </w:rPr>
            </w:pPr>
            <w:r>
              <w:rPr>
                <w:rFonts w:hint="default" w:ascii="仿宋_GB2312" w:hAnsi="宋体" w:eastAsia="仿宋_GB2312" w:cs="仿宋_GB2312"/>
                <w:b w:val="0"/>
                <w:bCs w:val="0"/>
                <w:i w:val="0"/>
                <w:iCs w:val="0"/>
                <w:color w:val="auto"/>
                <w:kern w:val="0"/>
                <w:sz w:val="21"/>
                <w:szCs w:val="21"/>
                <w:u w:val="none"/>
                <w:lang w:val="en-US" w:eastAsia="zh-CN" w:bidi="ar"/>
              </w:rPr>
              <w:t>序号</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仿宋_GB2312" w:hAnsi="宋体" w:eastAsia="仿宋_GB2312" w:cs="仿宋_GB2312"/>
                <w:b w:val="0"/>
                <w:bCs w:val="0"/>
                <w:i w:val="0"/>
                <w:iCs w:val="0"/>
                <w:color w:val="auto"/>
                <w:kern w:val="0"/>
                <w:sz w:val="21"/>
                <w:szCs w:val="21"/>
                <w:u w:val="none"/>
                <w:lang w:val="en-US" w:eastAsia="zh-CN" w:bidi="ar"/>
              </w:rPr>
            </w:pPr>
            <w:r>
              <w:rPr>
                <w:rFonts w:hint="default" w:ascii="仿宋_GB2312" w:hAnsi="宋体" w:eastAsia="仿宋_GB2312" w:cs="仿宋_GB2312"/>
                <w:b w:val="0"/>
                <w:bCs w:val="0"/>
                <w:i w:val="0"/>
                <w:iCs w:val="0"/>
                <w:color w:val="auto"/>
                <w:kern w:val="0"/>
                <w:sz w:val="21"/>
                <w:szCs w:val="21"/>
                <w:u w:val="none"/>
                <w:lang w:val="en-US" w:eastAsia="zh-CN" w:bidi="ar"/>
              </w:rPr>
              <w:t>年份</w:t>
            </w:r>
          </w:p>
        </w:tc>
        <w:tc>
          <w:tcPr>
            <w:tcW w:w="18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仿宋_GB2312" w:hAnsi="宋体" w:eastAsia="仿宋_GB2312" w:cs="仿宋_GB2312"/>
                <w:b w:val="0"/>
                <w:bCs w:val="0"/>
                <w:i w:val="0"/>
                <w:iCs w:val="0"/>
                <w:color w:val="auto"/>
                <w:kern w:val="0"/>
                <w:sz w:val="21"/>
                <w:szCs w:val="21"/>
                <w:u w:val="none"/>
                <w:lang w:val="en-US" w:eastAsia="zh-CN" w:bidi="ar"/>
              </w:rPr>
            </w:pPr>
            <w:r>
              <w:rPr>
                <w:rFonts w:hint="default" w:ascii="仿宋_GB2312" w:hAnsi="宋体" w:eastAsia="仿宋_GB2312" w:cs="仿宋_GB2312"/>
                <w:b w:val="0"/>
                <w:bCs w:val="0"/>
                <w:i w:val="0"/>
                <w:iCs w:val="0"/>
                <w:color w:val="auto"/>
                <w:kern w:val="0"/>
                <w:sz w:val="21"/>
                <w:szCs w:val="21"/>
                <w:u w:val="none"/>
                <w:lang w:val="en-US" w:eastAsia="zh-CN" w:bidi="ar"/>
              </w:rPr>
              <w:t>工业企业产值（万元）</w:t>
            </w:r>
          </w:p>
        </w:tc>
        <w:tc>
          <w:tcPr>
            <w:tcW w:w="19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仿宋_GB2312" w:hAnsi="宋体" w:eastAsia="仿宋_GB2312" w:cs="仿宋_GB2312"/>
                <w:b w:val="0"/>
                <w:bCs w:val="0"/>
                <w:i w:val="0"/>
                <w:iCs w:val="0"/>
                <w:color w:val="auto"/>
                <w:kern w:val="0"/>
                <w:sz w:val="21"/>
                <w:szCs w:val="21"/>
                <w:u w:val="none"/>
                <w:lang w:val="en-US" w:eastAsia="zh-CN" w:bidi="ar"/>
              </w:rPr>
            </w:pPr>
            <w:r>
              <w:rPr>
                <w:rFonts w:hint="default" w:ascii="仿宋_GB2312" w:hAnsi="宋体" w:eastAsia="仿宋_GB2312" w:cs="仿宋_GB2312"/>
                <w:b w:val="0"/>
                <w:bCs w:val="0"/>
                <w:i w:val="0"/>
                <w:iCs w:val="0"/>
                <w:color w:val="auto"/>
                <w:kern w:val="0"/>
                <w:sz w:val="21"/>
                <w:szCs w:val="21"/>
                <w:u w:val="none"/>
                <w:lang w:val="en-US" w:eastAsia="zh-CN" w:bidi="ar"/>
              </w:rPr>
              <w:t>工业企业增加值（万元）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仿宋_GB2312" w:hAnsi="宋体" w:eastAsia="仿宋_GB2312" w:cs="仿宋_GB2312"/>
                <w:b w:val="0"/>
                <w:bCs w:val="0"/>
                <w:i w:val="0"/>
                <w:iCs w:val="0"/>
                <w:color w:val="auto"/>
                <w:kern w:val="0"/>
                <w:sz w:val="21"/>
                <w:szCs w:val="21"/>
                <w:u w:val="none"/>
                <w:lang w:val="en-US" w:eastAsia="zh-CN" w:bidi="ar"/>
              </w:rPr>
            </w:pPr>
            <w:r>
              <w:rPr>
                <w:rFonts w:hint="default" w:ascii="仿宋_GB2312" w:hAnsi="宋体" w:eastAsia="仿宋_GB2312" w:cs="仿宋_GB2312"/>
                <w:b w:val="0"/>
                <w:bCs w:val="0"/>
                <w:i w:val="0"/>
                <w:iCs w:val="0"/>
                <w:color w:val="auto"/>
                <w:kern w:val="0"/>
                <w:sz w:val="21"/>
                <w:szCs w:val="21"/>
                <w:u w:val="none"/>
                <w:lang w:val="en-US" w:eastAsia="zh-CN" w:bidi="ar"/>
              </w:rPr>
              <w:t>1</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仿宋_GB2312" w:hAnsi="宋体" w:eastAsia="仿宋_GB2312" w:cs="仿宋_GB2312"/>
                <w:b w:val="0"/>
                <w:bCs w:val="0"/>
                <w:i w:val="0"/>
                <w:iCs w:val="0"/>
                <w:color w:val="auto"/>
                <w:kern w:val="0"/>
                <w:sz w:val="21"/>
                <w:szCs w:val="21"/>
                <w:u w:val="none"/>
                <w:lang w:val="en-US" w:eastAsia="zh-CN" w:bidi="ar"/>
              </w:rPr>
            </w:pPr>
            <w:r>
              <w:rPr>
                <w:rFonts w:hint="default" w:ascii="仿宋_GB2312" w:hAnsi="宋体" w:eastAsia="仿宋_GB2312" w:cs="仿宋_GB2312"/>
                <w:b w:val="0"/>
                <w:bCs w:val="0"/>
                <w:i w:val="0"/>
                <w:iCs w:val="0"/>
                <w:color w:val="auto"/>
                <w:kern w:val="0"/>
                <w:sz w:val="21"/>
                <w:szCs w:val="21"/>
                <w:u w:val="none"/>
                <w:lang w:val="en-US" w:eastAsia="zh-CN" w:bidi="ar"/>
              </w:rPr>
              <w:t>2018年</w:t>
            </w:r>
          </w:p>
        </w:tc>
        <w:tc>
          <w:tcPr>
            <w:tcW w:w="3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仿宋_GB2312" w:hAnsi="宋体" w:eastAsia="仿宋_GB2312" w:cs="仿宋_GB2312"/>
                <w:b w:val="0"/>
                <w:bCs w:val="0"/>
                <w:i w:val="0"/>
                <w:iCs w:val="0"/>
                <w:color w:val="auto"/>
                <w:kern w:val="0"/>
                <w:sz w:val="21"/>
                <w:szCs w:val="21"/>
                <w:u w:val="none"/>
                <w:lang w:val="en-US" w:eastAsia="zh-CN" w:bidi="ar"/>
              </w:rPr>
            </w:pPr>
            <w:r>
              <w:rPr>
                <w:rFonts w:hint="default" w:ascii="仿宋_GB2312" w:hAnsi="宋体" w:eastAsia="仿宋_GB2312" w:cs="仿宋_GB2312"/>
                <w:b w:val="0"/>
                <w:bCs w:val="0"/>
                <w:i w:val="0"/>
                <w:iCs w:val="0"/>
                <w:color w:val="auto"/>
                <w:kern w:val="0"/>
                <w:sz w:val="21"/>
                <w:szCs w:val="21"/>
                <w:u w:val="none"/>
                <w:lang w:val="en-US" w:eastAsia="zh-CN" w:bidi="ar"/>
              </w:rPr>
              <w:t>1942863.62</w:t>
            </w:r>
          </w:p>
        </w:tc>
        <w:tc>
          <w:tcPr>
            <w:tcW w:w="33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仿宋_GB2312" w:hAnsi="宋体" w:eastAsia="仿宋_GB2312" w:cs="仿宋_GB2312"/>
                <w:b w:val="0"/>
                <w:bCs w:val="0"/>
                <w:i w:val="0"/>
                <w:iCs w:val="0"/>
                <w:color w:val="auto"/>
                <w:kern w:val="0"/>
                <w:sz w:val="21"/>
                <w:szCs w:val="21"/>
                <w:u w:val="none"/>
                <w:lang w:val="en-US" w:eastAsia="zh-CN" w:bidi="ar"/>
              </w:rPr>
            </w:pPr>
            <w:r>
              <w:rPr>
                <w:rFonts w:hint="default" w:ascii="仿宋_GB2312" w:hAnsi="宋体" w:eastAsia="仿宋_GB2312" w:cs="仿宋_GB2312"/>
                <w:b w:val="0"/>
                <w:bCs w:val="0"/>
                <w:i w:val="0"/>
                <w:iCs w:val="0"/>
                <w:color w:val="auto"/>
                <w:kern w:val="0"/>
                <w:sz w:val="21"/>
                <w:szCs w:val="21"/>
                <w:u w:val="none"/>
                <w:lang w:val="en-US" w:eastAsia="zh-CN" w:bidi="ar"/>
              </w:rPr>
              <w:t>524573.18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仿宋_GB2312" w:hAnsi="宋体" w:eastAsia="仿宋_GB2312" w:cs="仿宋_GB2312"/>
                <w:b w:val="0"/>
                <w:bCs w:val="0"/>
                <w:i w:val="0"/>
                <w:iCs w:val="0"/>
                <w:color w:val="auto"/>
                <w:kern w:val="0"/>
                <w:sz w:val="21"/>
                <w:szCs w:val="21"/>
                <w:u w:val="none"/>
                <w:lang w:val="en-US" w:eastAsia="zh-CN" w:bidi="ar"/>
              </w:rPr>
            </w:pPr>
            <w:r>
              <w:rPr>
                <w:rFonts w:hint="default" w:ascii="仿宋_GB2312" w:hAnsi="宋体" w:eastAsia="仿宋_GB2312" w:cs="仿宋_GB2312"/>
                <w:b w:val="0"/>
                <w:bCs w:val="0"/>
                <w:i w:val="0"/>
                <w:iCs w:val="0"/>
                <w:color w:val="auto"/>
                <w:kern w:val="0"/>
                <w:sz w:val="21"/>
                <w:szCs w:val="21"/>
                <w:u w:val="none"/>
                <w:lang w:val="en-US" w:eastAsia="zh-CN" w:bidi="ar"/>
              </w:rPr>
              <w:t>2</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仿宋_GB2312" w:hAnsi="宋体" w:eastAsia="仿宋_GB2312" w:cs="仿宋_GB2312"/>
                <w:b w:val="0"/>
                <w:bCs w:val="0"/>
                <w:i w:val="0"/>
                <w:iCs w:val="0"/>
                <w:color w:val="auto"/>
                <w:kern w:val="0"/>
                <w:sz w:val="21"/>
                <w:szCs w:val="21"/>
                <w:u w:val="none"/>
                <w:lang w:val="en-US" w:eastAsia="zh-CN" w:bidi="ar"/>
              </w:rPr>
            </w:pPr>
            <w:r>
              <w:rPr>
                <w:rFonts w:hint="default" w:ascii="仿宋_GB2312" w:hAnsi="宋体" w:eastAsia="仿宋_GB2312" w:cs="仿宋_GB2312"/>
                <w:b w:val="0"/>
                <w:bCs w:val="0"/>
                <w:i w:val="0"/>
                <w:iCs w:val="0"/>
                <w:color w:val="auto"/>
                <w:kern w:val="0"/>
                <w:sz w:val="21"/>
                <w:szCs w:val="21"/>
                <w:u w:val="none"/>
                <w:lang w:val="en-US" w:eastAsia="zh-CN" w:bidi="ar"/>
              </w:rPr>
              <w:t>2019年</w:t>
            </w:r>
          </w:p>
        </w:tc>
        <w:tc>
          <w:tcPr>
            <w:tcW w:w="3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仿宋_GB2312" w:hAnsi="宋体" w:eastAsia="仿宋_GB2312" w:cs="仿宋_GB2312"/>
                <w:b w:val="0"/>
                <w:bCs w:val="0"/>
                <w:i w:val="0"/>
                <w:iCs w:val="0"/>
                <w:color w:val="auto"/>
                <w:kern w:val="0"/>
                <w:sz w:val="21"/>
                <w:szCs w:val="21"/>
                <w:u w:val="none"/>
                <w:lang w:val="en-US" w:eastAsia="zh-CN" w:bidi="ar"/>
              </w:rPr>
            </w:pPr>
            <w:r>
              <w:rPr>
                <w:rFonts w:hint="default" w:ascii="仿宋_GB2312" w:hAnsi="宋体" w:eastAsia="仿宋_GB2312" w:cs="仿宋_GB2312"/>
                <w:b w:val="0"/>
                <w:bCs w:val="0"/>
                <w:i w:val="0"/>
                <w:iCs w:val="0"/>
                <w:color w:val="auto"/>
                <w:kern w:val="0"/>
                <w:sz w:val="21"/>
                <w:szCs w:val="21"/>
                <w:u w:val="none"/>
                <w:lang w:val="en-US" w:eastAsia="zh-CN" w:bidi="ar"/>
              </w:rPr>
              <w:t>1427933.29</w:t>
            </w:r>
          </w:p>
        </w:tc>
        <w:tc>
          <w:tcPr>
            <w:tcW w:w="33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仿宋_GB2312" w:hAnsi="宋体" w:eastAsia="仿宋_GB2312" w:cs="仿宋_GB2312"/>
                <w:b w:val="0"/>
                <w:bCs w:val="0"/>
                <w:i w:val="0"/>
                <w:iCs w:val="0"/>
                <w:color w:val="auto"/>
                <w:kern w:val="0"/>
                <w:sz w:val="21"/>
                <w:szCs w:val="21"/>
                <w:u w:val="none"/>
                <w:lang w:val="en-US" w:eastAsia="zh-CN" w:bidi="ar"/>
              </w:rPr>
            </w:pPr>
            <w:r>
              <w:rPr>
                <w:rFonts w:hint="default" w:ascii="仿宋_GB2312" w:hAnsi="宋体" w:eastAsia="仿宋_GB2312" w:cs="仿宋_GB2312"/>
                <w:b w:val="0"/>
                <w:bCs w:val="0"/>
                <w:i w:val="0"/>
                <w:iCs w:val="0"/>
                <w:color w:val="auto"/>
                <w:kern w:val="0"/>
                <w:sz w:val="21"/>
                <w:szCs w:val="21"/>
                <w:u w:val="none"/>
                <w:lang w:val="en-US" w:eastAsia="zh-CN" w:bidi="ar"/>
              </w:rPr>
              <w:t>389825.79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仿宋_GB2312" w:hAnsi="宋体" w:eastAsia="仿宋_GB2312" w:cs="仿宋_GB2312"/>
                <w:b w:val="0"/>
                <w:bCs w:val="0"/>
                <w:i w:val="0"/>
                <w:iCs w:val="0"/>
                <w:color w:val="auto"/>
                <w:kern w:val="0"/>
                <w:sz w:val="21"/>
                <w:szCs w:val="21"/>
                <w:u w:val="none"/>
                <w:lang w:val="en-US" w:eastAsia="zh-CN" w:bidi="ar"/>
              </w:rPr>
            </w:pPr>
            <w:r>
              <w:rPr>
                <w:rFonts w:hint="default" w:ascii="仿宋_GB2312" w:hAnsi="宋体" w:eastAsia="仿宋_GB2312" w:cs="仿宋_GB2312"/>
                <w:b w:val="0"/>
                <w:bCs w:val="0"/>
                <w:i w:val="0"/>
                <w:iCs w:val="0"/>
                <w:color w:val="auto"/>
                <w:kern w:val="0"/>
                <w:sz w:val="21"/>
                <w:szCs w:val="21"/>
                <w:u w:val="none"/>
                <w:lang w:val="en-US" w:eastAsia="zh-CN" w:bidi="ar"/>
              </w:rPr>
              <w:t>3</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仿宋_GB2312" w:hAnsi="宋体" w:eastAsia="仿宋_GB2312" w:cs="仿宋_GB2312"/>
                <w:b w:val="0"/>
                <w:bCs w:val="0"/>
                <w:i w:val="0"/>
                <w:iCs w:val="0"/>
                <w:color w:val="auto"/>
                <w:kern w:val="0"/>
                <w:sz w:val="21"/>
                <w:szCs w:val="21"/>
                <w:u w:val="none"/>
                <w:lang w:val="en-US" w:eastAsia="zh-CN" w:bidi="ar"/>
              </w:rPr>
            </w:pPr>
            <w:r>
              <w:rPr>
                <w:rFonts w:hint="default" w:ascii="仿宋_GB2312" w:hAnsi="宋体" w:eastAsia="仿宋_GB2312" w:cs="仿宋_GB2312"/>
                <w:b w:val="0"/>
                <w:bCs w:val="0"/>
                <w:i w:val="0"/>
                <w:iCs w:val="0"/>
                <w:color w:val="auto"/>
                <w:kern w:val="0"/>
                <w:sz w:val="21"/>
                <w:szCs w:val="21"/>
                <w:u w:val="none"/>
                <w:lang w:val="en-US" w:eastAsia="zh-CN" w:bidi="ar"/>
              </w:rPr>
              <w:t>2020年</w:t>
            </w:r>
          </w:p>
        </w:tc>
        <w:tc>
          <w:tcPr>
            <w:tcW w:w="3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仿宋_GB2312" w:hAnsi="宋体" w:eastAsia="仿宋_GB2312" w:cs="仿宋_GB2312"/>
                <w:b w:val="0"/>
                <w:bCs w:val="0"/>
                <w:i w:val="0"/>
                <w:iCs w:val="0"/>
                <w:color w:val="auto"/>
                <w:kern w:val="0"/>
                <w:sz w:val="21"/>
                <w:szCs w:val="21"/>
                <w:u w:val="none"/>
                <w:lang w:val="en-US" w:eastAsia="zh-CN" w:bidi="ar"/>
              </w:rPr>
            </w:pPr>
            <w:r>
              <w:rPr>
                <w:rFonts w:hint="default" w:ascii="仿宋_GB2312" w:hAnsi="宋体" w:eastAsia="仿宋_GB2312" w:cs="仿宋_GB2312"/>
                <w:b w:val="0"/>
                <w:bCs w:val="0"/>
                <w:i w:val="0"/>
                <w:iCs w:val="0"/>
                <w:color w:val="auto"/>
                <w:kern w:val="0"/>
                <w:sz w:val="21"/>
                <w:szCs w:val="21"/>
                <w:u w:val="none"/>
                <w:lang w:val="en-US" w:eastAsia="zh-CN" w:bidi="ar"/>
              </w:rPr>
              <w:t>1074339.88</w:t>
            </w:r>
          </w:p>
        </w:tc>
        <w:tc>
          <w:tcPr>
            <w:tcW w:w="33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仿宋_GB2312" w:hAnsi="宋体" w:eastAsia="仿宋_GB2312" w:cs="仿宋_GB2312"/>
                <w:b w:val="0"/>
                <w:bCs w:val="0"/>
                <w:i w:val="0"/>
                <w:iCs w:val="0"/>
                <w:color w:val="auto"/>
                <w:kern w:val="0"/>
                <w:sz w:val="21"/>
                <w:szCs w:val="21"/>
                <w:u w:val="none"/>
                <w:lang w:val="en-US" w:eastAsia="zh-CN" w:bidi="ar"/>
              </w:rPr>
            </w:pPr>
            <w:r>
              <w:rPr>
                <w:rFonts w:hint="default" w:ascii="仿宋_GB2312" w:hAnsi="宋体" w:eastAsia="仿宋_GB2312" w:cs="仿宋_GB2312"/>
                <w:b w:val="0"/>
                <w:bCs w:val="0"/>
                <w:i w:val="0"/>
                <w:iCs w:val="0"/>
                <w:color w:val="auto"/>
                <w:kern w:val="0"/>
                <w:sz w:val="21"/>
                <w:szCs w:val="21"/>
                <w:u w:val="none"/>
                <w:lang w:val="en-US" w:eastAsia="zh-CN" w:bidi="ar"/>
              </w:rPr>
              <w:t>297919.66</w:t>
            </w:r>
          </w:p>
        </w:tc>
      </w:tr>
    </w:tbl>
    <w:p>
      <w:pPr>
        <w:ind w:left="0" w:leftChars="0" w:firstLine="0" w:firstLineChars="0"/>
        <w:rPr>
          <w:rFonts w:hint="eastAsia"/>
          <w:color w:val="auto"/>
          <w:lang w:val="en-US" w:eastAsia="zh-CN"/>
        </w:rPr>
      </w:pPr>
      <w:r>
        <w:rPr>
          <w:color w:val="auto"/>
        </w:rPr>
        <w:drawing>
          <wp:inline distT="0" distB="0" distL="114300" distR="114300">
            <wp:extent cx="5253355" cy="2784475"/>
            <wp:effectExtent l="4445" t="4445" r="15240" b="15240"/>
            <wp:docPr id="22" name="图表 6" descr="7b0a202020202263686172745265734964223a202234363530303532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rPr>
          <w:rFonts w:hint="eastAsia"/>
          <w:color w:val="auto"/>
          <w:lang w:val="en-US" w:eastAsia="zh-CN"/>
        </w:rPr>
      </w:pPr>
      <w:r>
        <w:rPr>
          <w:rFonts w:hint="eastAsia"/>
          <w:color w:val="auto"/>
          <w:lang w:val="en-US" w:eastAsia="zh-CN"/>
        </w:rPr>
        <w:t>图2-1开发区规模以上工业企业产值及工业增加值变化图</w:t>
      </w:r>
    </w:p>
    <w:p>
      <w:pPr>
        <w:rPr>
          <w:rFonts w:hint="eastAsia"/>
          <w:color w:val="auto"/>
          <w:lang w:val="en-US" w:eastAsia="zh-CN"/>
        </w:rPr>
      </w:pPr>
    </w:p>
    <w:p>
      <w:pPr>
        <w:rPr>
          <w:rFonts w:hint="eastAsia"/>
          <w:color w:val="auto"/>
          <w:lang w:val="en-US" w:eastAsia="zh-CN"/>
        </w:rPr>
      </w:pPr>
      <w:r>
        <w:rPr>
          <w:rFonts w:hint="eastAsia"/>
          <w:color w:val="auto"/>
          <w:lang w:val="en-US" w:eastAsia="zh-CN"/>
        </w:rPr>
        <w:t>4、开发区区规模以上工业用能简况</w:t>
      </w:r>
    </w:p>
    <w:p>
      <w:pPr>
        <w:rPr>
          <w:rFonts w:hint="default"/>
          <w:color w:val="auto"/>
          <w:lang w:val="en-US" w:eastAsia="zh-CN"/>
        </w:rPr>
      </w:pPr>
      <w:r>
        <w:rPr>
          <w:rFonts w:hint="eastAsia"/>
          <w:color w:val="auto"/>
          <w:lang w:val="en-US" w:eastAsia="zh-CN"/>
        </w:rPr>
        <w:t>从2018年到2020年，园区规模以上工业能源消费量随着经济发展不断变化，2019年规模以上工业企业能源消费量比2018年下降了29.14%，单位增加值能耗比2018年降低了4.6%；2020年规模以上工业企业能源消费量比2019年下降了28.21%，单位增加值能耗比2019年下降了6.06%。如下表2-3所示：</w:t>
      </w:r>
    </w:p>
    <w:p>
      <w:pPr>
        <w:ind w:left="0" w:leftChars="0" w:firstLine="0" w:firstLineChars="0"/>
        <w:jc w:val="center"/>
        <w:rPr>
          <w:rFonts w:hint="eastAsia"/>
          <w:color w:val="auto"/>
          <w:lang w:val="en-US" w:eastAsia="zh-CN"/>
        </w:rPr>
      </w:pPr>
      <w:r>
        <w:rPr>
          <w:rFonts w:hint="eastAsia"/>
          <w:color w:val="auto"/>
          <w:lang w:val="en-US" w:eastAsia="zh-CN"/>
        </w:rPr>
        <w:t>表2-3  2018-2020年开发区规上企业能源消费量及单位增加值能耗</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2"/>
        <w:gridCol w:w="1203"/>
        <w:gridCol w:w="2729"/>
        <w:gridCol w:w="37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序号</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年份</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能源消费量（tce）</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单位工业增加值能耗（tce/万元）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1</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2018年</w:t>
            </w:r>
          </w:p>
        </w:tc>
        <w:tc>
          <w:tcPr>
            <w:tcW w:w="2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auto"/>
                <w:sz w:val="24"/>
                <w:szCs w:val="24"/>
                <w:highlight w:val="none"/>
                <w:u w:val="none"/>
                <w:lang w:val="en-US" w:eastAsia="zh-CN"/>
              </w:rPr>
            </w:pPr>
            <w:r>
              <w:rPr>
                <w:rFonts w:hint="default" w:ascii="宋体" w:hAnsi="宋体" w:eastAsia="宋体" w:cs="宋体"/>
                <w:i w:val="0"/>
                <w:iCs w:val="0"/>
                <w:color w:val="auto"/>
                <w:sz w:val="24"/>
                <w:szCs w:val="24"/>
                <w:highlight w:val="none"/>
                <w:u w:val="none"/>
                <w:lang w:val="en-US" w:eastAsia="zh-CN"/>
              </w:rPr>
              <w:t>2662111.73</w:t>
            </w:r>
          </w:p>
        </w:tc>
        <w:tc>
          <w:tcPr>
            <w:tcW w:w="3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auto"/>
                <w:sz w:val="24"/>
                <w:szCs w:val="24"/>
                <w:highlight w:val="none"/>
                <w:u w:val="none"/>
                <w:lang w:val="en-US" w:eastAsia="zh-CN"/>
              </w:rPr>
            </w:pPr>
            <w:r>
              <w:rPr>
                <w:rFonts w:hint="default" w:ascii="宋体" w:hAnsi="宋体" w:eastAsia="宋体" w:cs="宋体"/>
                <w:i w:val="0"/>
                <w:iCs w:val="0"/>
                <w:color w:val="auto"/>
                <w:sz w:val="24"/>
                <w:szCs w:val="24"/>
                <w:highlight w:val="none"/>
                <w:u w:val="none"/>
                <w:lang w:val="en-US" w:eastAsia="zh-CN"/>
              </w:rPr>
              <w:t>5.0748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2</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2019年</w:t>
            </w:r>
          </w:p>
        </w:tc>
        <w:tc>
          <w:tcPr>
            <w:tcW w:w="2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auto"/>
                <w:sz w:val="24"/>
                <w:szCs w:val="24"/>
                <w:highlight w:val="none"/>
                <w:u w:val="none"/>
                <w:lang w:val="en-US" w:eastAsia="zh-CN"/>
              </w:rPr>
            </w:pPr>
            <w:r>
              <w:rPr>
                <w:rFonts w:hint="default" w:ascii="宋体" w:hAnsi="宋体" w:eastAsia="宋体" w:cs="宋体"/>
                <w:i w:val="0"/>
                <w:iCs w:val="0"/>
                <w:color w:val="auto"/>
                <w:sz w:val="24"/>
                <w:szCs w:val="24"/>
                <w:highlight w:val="none"/>
                <w:u w:val="none"/>
                <w:lang w:val="en-US" w:eastAsia="zh-CN"/>
              </w:rPr>
              <w:t>1886442.67</w:t>
            </w:r>
          </w:p>
        </w:tc>
        <w:tc>
          <w:tcPr>
            <w:tcW w:w="3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auto"/>
                <w:sz w:val="24"/>
                <w:szCs w:val="24"/>
                <w:highlight w:val="none"/>
                <w:u w:val="none"/>
                <w:lang w:val="en-US" w:eastAsia="zh-CN"/>
              </w:rPr>
            </w:pPr>
            <w:r>
              <w:rPr>
                <w:rFonts w:hint="default" w:ascii="宋体" w:hAnsi="宋体" w:eastAsia="宋体" w:cs="宋体"/>
                <w:i w:val="0"/>
                <w:iCs w:val="0"/>
                <w:color w:val="auto"/>
                <w:sz w:val="24"/>
                <w:szCs w:val="24"/>
                <w:highlight w:val="none"/>
                <w:u w:val="none"/>
                <w:lang w:val="en-US" w:eastAsia="zh-CN"/>
              </w:rPr>
              <w:t>4.8392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3</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2020年</w:t>
            </w:r>
          </w:p>
        </w:tc>
        <w:tc>
          <w:tcPr>
            <w:tcW w:w="2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auto"/>
                <w:sz w:val="24"/>
                <w:szCs w:val="24"/>
                <w:highlight w:val="none"/>
                <w:u w:val="none"/>
                <w:lang w:val="en-US" w:eastAsia="zh-CN"/>
              </w:rPr>
            </w:pPr>
            <w:r>
              <w:rPr>
                <w:rFonts w:hint="default" w:ascii="宋体" w:hAnsi="宋体" w:eastAsia="宋体" w:cs="宋体"/>
                <w:i w:val="0"/>
                <w:iCs w:val="0"/>
                <w:color w:val="auto"/>
                <w:sz w:val="24"/>
                <w:szCs w:val="24"/>
                <w:highlight w:val="none"/>
                <w:u w:val="none"/>
                <w:lang w:val="en-US" w:eastAsia="zh-CN"/>
              </w:rPr>
              <w:t>1354198.46</w:t>
            </w:r>
          </w:p>
        </w:tc>
        <w:tc>
          <w:tcPr>
            <w:tcW w:w="3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auto"/>
                <w:sz w:val="24"/>
                <w:szCs w:val="24"/>
                <w:highlight w:val="none"/>
                <w:u w:val="none"/>
                <w:lang w:val="en-US" w:eastAsia="zh-CN"/>
              </w:rPr>
            </w:pPr>
            <w:r>
              <w:rPr>
                <w:rFonts w:hint="default" w:ascii="宋体" w:hAnsi="宋体" w:eastAsia="宋体" w:cs="宋体"/>
                <w:i w:val="0"/>
                <w:iCs w:val="0"/>
                <w:color w:val="auto"/>
                <w:sz w:val="24"/>
                <w:szCs w:val="24"/>
                <w:highlight w:val="none"/>
                <w:u w:val="none"/>
                <w:lang w:val="en-US" w:eastAsia="zh-CN"/>
              </w:rPr>
              <w:t>4.5455</w:t>
            </w:r>
          </w:p>
        </w:tc>
      </w:tr>
    </w:tbl>
    <w:p>
      <w:pPr>
        <w:ind w:left="0" w:leftChars="0" w:firstLine="0" w:firstLineChars="0"/>
        <w:rPr>
          <w:rFonts w:hint="eastAsia"/>
          <w:color w:val="auto"/>
          <w:lang w:val="en-US" w:eastAsia="zh-CN"/>
        </w:rPr>
      </w:pPr>
    </w:p>
    <w:p>
      <w:pPr>
        <w:ind w:left="0" w:leftChars="0" w:firstLine="0" w:firstLineChars="0"/>
        <w:rPr>
          <w:color w:val="auto"/>
        </w:rPr>
      </w:pPr>
      <w:r>
        <w:rPr>
          <w:color w:val="auto"/>
        </w:rPr>
        <w:drawing>
          <wp:inline distT="0" distB="0" distL="114300" distR="114300">
            <wp:extent cx="5266055" cy="2743200"/>
            <wp:effectExtent l="4445" t="4445" r="17780" b="10795"/>
            <wp:docPr id="23"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ind w:left="0" w:leftChars="0" w:firstLine="0" w:firstLineChars="0"/>
        <w:rPr>
          <w:rFonts w:hint="eastAsia"/>
          <w:color w:val="auto"/>
          <w:lang w:val="en-US" w:eastAsia="zh-CN"/>
        </w:rPr>
      </w:pPr>
      <w:r>
        <w:rPr>
          <w:color w:val="auto"/>
        </w:rPr>
        <w:drawing>
          <wp:inline distT="0" distB="0" distL="114300" distR="114300">
            <wp:extent cx="5283200" cy="2743200"/>
            <wp:effectExtent l="4445" t="4445" r="15875" b="10795"/>
            <wp:docPr id="24"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ind w:left="0" w:leftChars="0" w:firstLine="0" w:firstLineChars="0"/>
        <w:rPr>
          <w:rFonts w:hint="eastAsia"/>
          <w:color w:val="auto"/>
          <w:lang w:val="en-US" w:eastAsia="zh-CN"/>
        </w:rPr>
      </w:pPr>
      <w:r>
        <w:rPr>
          <w:rFonts w:hint="eastAsia"/>
          <w:color w:val="auto"/>
          <w:lang w:val="en-US" w:eastAsia="zh-CN"/>
        </w:rPr>
        <w:t>图2-2开发区规模以上工业企业能源消费量及单位增加值能耗变化图</w:t>
      </w:r>
    </w:p>
    <w:p>
      <w:pPr>
        <w:rPr>
          <w:rFonts w:hint="eastAsia"/>
          <w:color w:val="auto"/>
          <w:lang w:val="en-US" w:eastAsia="zh-CN"/>
        </w:rPr>
      </w:pPr>
    </w:p>
    <w:p>
      <w:pPr>
        <w:pStyle w:val="3"/>
        <w:bidi w:val="0"/>
        <w:rPr>
          <w:rFonts w:hint="eastAsia"/>
          <w:color w:val="auto"/>
          <w:lang w:val="en-US" w:eastAsia="zh-CN"/>
        </w:rPr>
      </w:pPr>
      <w:bookmarkStart w:id="13" w:name="_Toc32402"/>
      <w:r>
        <w:rPr>
          <w:rFonts w:hint="eastAsia"/>
          <w:color w:val="auto"/>
          <w:lang w:val="en-US" w:eastAsia="zh-CN"/>
        </w:rPr>
        <w:t>2.2 开发区产业发展规划</w:t>
      </w:r>
      <w:bookmarkEnd w:id="13"/>
    </w:p>
    <w:p>
      <w:pPr>
        <w:pStyle w:val="4"/>
        <w:bidi w:val="0"/>
        <w:rPr>
          <w:rFonts w:hint="eastAsia"/>
          <w:color w:val="auto"/>
          <w:lang w:val="en-US" w:eastAsia="zh-CN"/>
        </w:rPr>
      </w:pPr>
      <w:bookmarkStart w:id="14" w:name="_Toc18366"/>
      <w:r>
        <w:rPr>
          <w:rFonts w:hint="eastAsia"/>
          <w:color w:val="auto"/>
          <w:lang w:val="en-US" w:eastAsia="zh-CN"/>
        </w:rPr>
        <w:t>2.2.1 开发区产业发展建设进度及现状</w:t>
      </w:r>
      <w:bookmarkEnd w:id="14"/>
    </w:p>
    <w:p>
      <w:pPr>
        <w:rPr>
          <w:rFonts w:hint="eastAsia"/>
          <w:color w:val="auto"/>
          <w:lang w:val="en-US" w:eastAsia="zh-CN"/>
        </w:rPr>
      </w:pPr>
      <w:r>
        <w:rPr>
          <w:rFonts w:hint="eastAsia"/>
          <w:color w:val="auto"/>
          <w:lang w:val="en-US" w:eastAsia="zh-CN"/>
        </w:rPr>
        <w:t>园区内以发展“磷系新材料、新能源材料”产业为主链，氯碱化工、新型建材为辅链，延链发展氟材料、钛材料，培育壮大铝基新材料产业和现代物流业，构建“钛、硫、磷、铁、氟、硅、碘”共生耦合绿色循环的现代化工产业体系。</w:t>
      </w:r>
    </w:p>
    <w:p>
      <w:pPr>
        <w:rPr>
          <w:rFonts w:hint="eastAsia"/>
          <w:color w:val="auto"/>
          <w:lang w:val="en-US" w:eastAsia="zh-CN"/>
        </w:rPr>
      </w:pPr>
      <w:r>
        <w:rPr>
          <w:rFonts w:hint="eastAsia"/>
          <w:color w:val="auto"/>
          <w:highlight w:val="none"/>
          <w:lang w:val="en-US" w:eastAsia="zh-CN"/>
        </w:rPr>
        <w:t>开发区呈“一园多区”的空间结构，即经开核心区、双流片区、金中片区、大坝片区、龙岗富硒产业园、其他。经开核心区以贵州安达科技能源股份有限公司、开阳石达天然气有限公司、贵州开阳化工有限公司、空气化工（贵阳）有限公司、开阳同辉气体有限公司等企业为代表的新能源电池正极材料产业，2020年全年实现产值28.92亿元，占全区规模以上工业总产值的比重为27.29%；双流片区以贵州开阳川东化工有限公司、贵州胜威凯洋化工有限公司、贵州开阳三环磨料有限公司、贵州开阳宏艺精工实业有限公司、贵州开阳青利天盟化工有限公司、贵州开阳双阳磷矿有限公司等企业为代表的新能源电池电解液材料产业，2020年全年实现产值31.27亿元，占全区规模以上工业总产值的比重为29.51%；金中片区以贵州瓮福开磷氟硅新材料有限公司、贵州政立矿业有限公司、贵州开磷有限责任公司、贵州路发实业有限公司等企业为代表的采矿、化工基础原料、伴生资源及固废综合利用产业，2020年全年实现产值23.28亿元，占全区规模以上工业总产值的比重为21.97%；龙岗富硒产业园</w:t>
      </w:r>
      <w:r>
        <w:rPr>
          <w:rFonts w:hint="eastAsia"/>
          <w:color w:val="auto"/>
          <w:lang w:val="en-US" w:eastAsia="zh-CN"/>
        </w:rPr>
        <w:t>以开阳农汇果业有限公司、开阳山野农业发展有限公司等企业为代表的特色农产品加工产业，</w:t>
      </w:r>
      <w:r>
        <w:rPr>
          <w:rFonts w:hint="eastAsia"/>
          <w:color w:val="auto"/>
          <w:highlight w:val="none"/>
          <w:lang w:val="en-US" w:eastAsia="zh-CN"/>
        </w:rPr>
        <w:t>2020年全年实现产值20.23亿元，占全区规模以上工业总产值的比重为19.09%；其</w:t>
      </w:r>
      <w:r>
        <w:rPr>
          <w:rFonts w:hint="eastAsia"/>
          <w:color w:val="auto"/>
          <w:lang w:val="en-US" w:eastAsia="zh-CN"/>
        </w:rPr>
        <w:t>他以开阳博大商砼建材有限公司、贵州林源得益环保科技有限责任公司等企业为代表的建材或采矿产业，2020年全年实现产值2.26亿元，占全区规模以上工业总产值的比重为2.14%；大坝片区目前暂无产业入驻，将作为中远期化工园区拓展用地，规划发展新能源电池材料产业。</w:t>
      </w:r>
    </w:p>
    <w:p>
      <w:pPr>
        <w:pStyle w:val="4"/>
        <w:bidi w:val="0"/>
        <w:rPr>
          <w:rFonts w:hint="eastAsia"/>
          <w:color w:val="auto"/>
          <w:lang w:val="en-US" w:eastAsia="zh-CN"/>
        </w:rPr>
      </w:pPr>
      <w:bookmarkStart w:id="15" w:name="_Toc17742"/>
      <w:r>
        <w:rPr>
          <w:rFonts w:hint="eastAsia"/>
          <w:color w:val="auto"/>
          <w:lang w:val="en-US" w:eastAsia="zh-CN"/>
        </w:rPr>
        <w:t>2.2.2 区域产业发展建设目标</w:t>
      </w:r>
      <w:bookmarkEnd w:id="15"/>
    </w:p>
    <w:p>
      <w:pPr>
        <w:rPr>
          <w:rFonts w:hint="eastAsia"/>
          <w:color w:val="auto"/>
          <w:lang w:val="en-US" w:eastAsia="zh-CN"/>
        </w:rPr>
      </w:pPr>
      <w:r>
        <w:rPr>
          <w:rFonts w:hint="eastAsia"/>
          <w:color w:val="auto"/>
          <w:lang w:val="en-US" w:eastAsia="zh-CN"/>
        </w:rPr>
        <w:t>1、《贵州省人民政府办公厅关于推进开发区高质量发展的指导意见》（筑府办发〔2021〕6号）提出：</w:t>
      </w:r>
    </w:p>
    <w:p>
      <w:pPr>
        <w:rPr>
          <w:rFonts w:hint="eastAsia"/>
          <w:color w:val="auto"/>
          <w:lang w:val="en-US" w:eastAsia="zh-CN"/>
        </w:rPr>
      </w:pPr>
      <w:r>
        <w:rPr>
          <w:rFonts w:hint="eastAsia"/>
          <w:color w:val="auto"/>
          <w:lang w:val="en-US" w:eastAsia="zh-CN"/>
        </w:rPr>
        <w:t>“十四五”推进全省开发区高质量发展，以习近平新时代中国特色社会主义思想为指导，深入贯彻落实习近平总书记视察贵州重要讲话精神，按照我省“十四五”时期“一二三四”发展总体思路，以高质量发展为统揽，进一步明确开发区功能定位，加强统筹规划，理顺体制机制，提高运营水平，主攻首位产业，推动集聚集群集约发展，把开发区建设成为全省新型工业化发展的引领区、开放型经济建设的先行区、深化“放管服”改革的示范区，为全省经济高质量发展提供坚强支撑和有力保障。《指导意见》明确了“十四五”期间全省开发区发展目标，即开发区工业总产值、工业增加值、工业投资、工业企业户数等主要经济指标实现倍增，到2025年，全省开发区规模以上工业总产值、工业增加值占全省工业的比重均达到90%左右，初步建成千亿级开发区5个、五百亿级开发区10个、百亿级开发区40个。其中贵州开阳经济开发区为百亿级开发区。</w:t>
      </w:r>
    </w:p>
    <w:p>
      <w:pPr>
        <w:rPr>
          <w:rFonts w:hint="eastAsia"/>
          <w:color w:val="auto"/>
          <w:lang w:val="en-US" w:eastAsia="zh-CN"/>
        </w:rPr>
      </w:pPr>
      <w:r>
        <w:rPr>
          <w:rFonts w:hint="eastAsia"/>
          <w:color w:val="auto"/>
          <w:lang w:val="en-US" w:eastAsia="zh-CN"/>
        </w:rPr>
        <w:t>2、“十四五”开阳县全面提升产业园区能级和水平，工业总产值突破500亿目标。</w:t>
      </w:r>
    </w:p>
    <w:p>
      <w:pPr>
        <w:rPr>
          <w:rFonts w:hint="eastAsia"/>
          <w:color w:val="auto"/>
          <w:lang w:val="en-US" w:eastAsia="zh-CN"/>
        </w:rPr>
      </w:pPr>
      <w:r>
        <w:rPr>
          <w:rFonts w:hint="eastAsia"/>
          <w:color w:val="auto"/>
          <w:lang w:val="en-US" w:eastAsia="zh-CN"/>
        </w:rPr>
        <w:t>开阳县十四五总体要求围绕“经济强、百姓富、生态美”，聚焦乡村大振兴、产业大集聚、通道大建设“三大任务”，构筑港城区、经开区、加工区“三大引擎”，推动以现代化工为主导的新型工业化、以生态宜居为品质的新型城镇化、以富硒特色为品牌的农业现代化、以康养体验为引领的旅游产业化“四化同步”，努力实现与开阳区位优势相匹配、与资源禀赋相对等、与贵阳贵安大能级城市相适应的经济社会高质量发展。</w:t>
      </w:r>
    </w:p>
    <w:p>
      <w:pPr>
        <w:rPr>
          <w:rFonts w:hint="eastAsia"/>
          <w:color w:val="auto"/>
          <w:lang w:val="en-US" w:eastAsia="zh-CN"/>
        </w:rPr>
      </w:pPr>
      <w:r>
        <w:rPr>
          <w:rFonts w:hint="eastAsia"/>
          <w:color w:val="auto"/>
          <w:lang w:val="en-US" w:eastAsia="zh-CN"/>
        </w:rPr>
        <w:t>促进产业园区建设总面积扩容为500亿级现代化工产业发展提供充足承载空间，加快推进“1+5”产业园区交通、能源、物流基础设施建设，形成各组团内部小循环、组团间相互协同、各具特色又相互支撑的空间发展体系，全力打造贵阳市泛北部千亿级现代化工产业核心支撑引领区。到2025年，将开阳经济开发区打造成500亿园区。</w:t>
      </w:r>
    </w:p>
    <w:p>
      <w:pPr>
        <w:rPr>
          <w:rFonts w:hint="eastAsia"/>
          <w:color w:val="auto"/>
          <w:lang w:val="en-US" w:eastAsia="zh-CN"/>
        </w:rPr>
      </w:pPr>
      <w:r>
        <w:rPr>
          <w:rFonts w:hint="eastAsia"/>
          <w:color w:val="auto"/>
          <w:lang w:val="en-US" w:eastAsia="zh-CN"/>
        </w:rPr>
        <w:t>3、对接贵阳市“六大新产业、十大产业链”，全力以赴开创高质量发展新局面，强力推进十大工业产业、服务业创新发展十大工程、十二大农业特色优势产业发展，并将实施“强省会”五年行动，推动工业转型升级、服务业提质增效、农业特色高效发展。</w:t>
      </w:r>
    </w:p>
    <w:p>
      <w:pPr>
        <w:rPr>
          <w:rFonts w:hint="eastAsia"/>
          <w:color w:val="auto"/>
          <w:lang w:val="en-US" w:eastAsia="zh-CN"/>
        </w:rPr>
      </w:pPr>
      <w:r>
        <w:rPr>
          <w:rFonts w:hint="eastAsia"/>
          <w:color w:val="auto"/>
          <w:lang w:val="en-US" w:eastAsia="zh-CN"/>
        </w:rPr>
        <w:t>在贵阳市“十四五”重点推进的“十大产业链”中，开阳县在特色食品、动力电池、磷系新材料、铝系新材料、氢能、化学药等领域均有对接机会，部分产业在全市产业链中居于主导地位，全市新产业承载优势明显。在贵阳市产业布局优化、产业资源精准投放过程中，开阳县有机会获得更多资源支持，实现产业结构的突破和升级。</w:t>
      </w:r>
    </w:p>
    <w:p>
      <w:pPr>
        <w:rPr>
          <w:rFonts w:hint="eastAsia"/>
          <w:color w:val="auto"/>
          <w:lang w:val="en-US" w:eastAsia="zh-CN"/>
        </w:rPr>
      </w:pPr>
      <w:r>
        <w:rPr>
          <w:rFonts w:hint="eastAsia"/>
          <w:color w:val="auto"/>
          <w:lang w:val="en-US" w:eastAsia="zh-CN"/>
        </w:rPr>
        <w:t>4、以创新为引领的信息化、智能化，是现代工业发展的趋势。以创新引领转型升级，把创新作为引领发展的第一动力，明确创新风向标，扩大创新工作面，贯通创新价值链，优化创新生态圈，启动实施创新产业引领、原创成果转化、标志品牌创建、创新生态建设等工程。实现工业由大到强的战略转变和新旧动力的顺利转换，围绕现代磷系化工产业，大力培植发展先进制造业和战略性新兴产业。园区转型升级发展规划总体思路瞄准磷系新材料产业园高端化、安全化、绿色化发展方向，围绕产业链、供应链、创新链，大力推动磷系新材料产业上下游配套、集群化发展。构建“钛、硫、磷、铁、氟、硅、碘”耦合的产业体系，大力推进现有产业结构战略性调整，深入招引和培育优质项目，不断提升园区发展质效。</w:t>
      </w:r>
    </w:p>
    <w:p>
      <w:pPr>
        <w:rPr>
          <w:rFonts w:hint="eastAsia"/>
          <w:color w:val="auto"/>
          <w:lang w:val="en-US" w:eastAsia="zh-CN"/>
        </w:rPr>
      </w:pPr>
      <w:r>
        <w:rPr>
          <w:rFonts w:hint="eastAsia"/>
          <w:color w:val="auto"/>
          <w:lang w:val="en-US" w:eastAsia="zh-CN"/>
        </w:rPr>
        <w:t>5、以资源节约、环境友好为导向，以绿色技术创新为驱动，以绿色低碳循环的产业体系为核心，统筹推动绿色低碳循环的园区建设，积极推进低碳技术研发推广，努力增加生态碳汇。支持优化能源结构，增加可再生、清洁能源供给。推进重点生态保护修复，发展循环经济，提高资源利用效率。遏制高能耗、高排放行业盲目发展，推动传统产业优化升级，发展新一代信息技术、高端装备、新材料、新能源、节能环保等战略性新兴产业，努力构建高效、清洁、低碳、循环绿色制造体系。鼓励发展装配式建筑和绿色建材，在基础设施建设运行管理的各个环节，落实绿色低碳理念，建设低碳智慧园区。</w:t>
      </w:r>
    </w:p>
    <w:p>
      <w:pPr>
        <w:pStyle w:val="3"/>
        <w:bidi w:val="0"/>
        <w:rPr>
          <w:rFonts w:hint="eastAsia"/>
          <w:color w:val="auto"/>
          <w:lang w:val="en-US" w:eastAsia="zh-CN"/>
        </w:rPr>
      </w:pPr>
      <w:bookmarkStart w:id="16" w:name="_Toc3092"/>
      <w:r>
        <w:rPr>
          <w:rFonts w:hint="eastAsia"/>
          <w:color w:val="auto"/>
          <w:lang w:val="en-US" w:eastAsia="zh-CN"/>
        </w:rPr>
        <w:t>2.3 区域能源供应和使用情况</w:t>
      </w:r>
      <w:bookmarkEnd w:id="16"/>
    </w:p>
    <w:p>
      <w:pPr>
        <w:pStyle w:val="4"/>
        <w:bidi w:val="0"/>
        <w:rPr>
          <w:rFonts w:hint="eastAsia"/>
          <w:color w:val="auto"/>
          <w:lang w:val="en-US" w:eastAsia="zh-CN"/>
        </w:rPr>
      </w:pPr>
      <w:bookmarkStart w:id="17" w:name="_Toc22862"/>
      <w:r>
        <w:rPr>
          <w:rFonts w:hint="eastAsia"/>
          <w:color w:val="auto"/>
          <w:lang w:val="en-US" w:eastAsia="zh-CN"/>
        </w:rPr>
        <w:t>2.3.1 供电情况</w:t>
      </w:r>
      <w:bookmarkEnd w:id="17"/>
    </w:p>
    <w:p>
      <w:pPr>
        <w:rPr>
          <w:rFonts w:hint="eastAsia"/>
          <w:color w:val="auto"/>
          <w:lang w:val="en-US" w:eastAsia="zh-CN"/>
        </w:rPr>
      </w:pPr>
      <w:r>
        <w:rPr>
          <w:rFonts w:hint="eastAsia"/>
          <w:color w:val="auto"/>
          <w:lang w:val="en-US" w:eastAsia="zh-CN"/>
        </w:rPr>
        <w:t>截至2020年底，贵阳市现有35千伏及以上变电站147座，总容量22067.25兆伏安。其中，500千伏变电站5座，主变8台，总容量5750兆伏安；220千伏变电站23座，主变44台，总容量8730兆伏安；110千伏变电站79座，主变155台，总容量7157兆伏安；35千伏变电站41座，主变77台，总容量430.25兆伏安。有35千伏及以上输电线路230条，总长2489.52公里，其中220千伏线路12条9.485公里，110千伏线路142条1435.5公里；35千伏线路88条1044.535公里。配电线路847条12437.072公里，公用配变12657台，总容量2981.519兆伏安。</w:t>
      </w:r>
    </w:p>
    <w:p>
      <w:pPr>
        <w:rPr>
          <w:rFonts w:hint="eastAsia"/>
          <w:color w:val="auto"/>
          <w:lang w:val="en-US" w:eastAsia="zh-CN"/>
        </w:rPr>
      </w:pPr>
      <w:r>
        <w:rPr>
          <w:rFonts w:hint="eastAsia"/>
          <w:color w:val="auto"/>
          <w:lang w:val="en-US" w:eastAsia="zh-CN"/>
        </w:rPr>
        <w:t>贵阳电网以5个500千伏变电站为支撑，划分为南部、中部、北部3个区域电网。南部电网由500千伏青岩变和220千伏党武变、竹林变、后午变、林卡变、南郊变六角环网外加一个四角环网组成，另由500千伏醒狮变与4个220千伏变电站组成辐射性电网，同时通过220千伏筑东变、赵斯变与500千伏青岩变组成电磁环网运行；中部电网是以500千伏贵阳变为中心的220千伏辐射性电网；北部电网是以500千伏息烽变为中心的息烽变－开阳变－永温变－乌江渡老厂－盘脚变环网运行模式，中部和北部电网也通过220千伏系统电磁环网运行。</w:t>
      </w:r>
    </w:p>
    <w:p>
      <w:pPr>
        <w:rPr>
          <w:rFonts w:hint="eastAsia"/>
          <w:color w:val="auto"/>
          <w:lang w:val="en-US" w:eastAsia="zh-CN"/>
        </w:rPr>
      </w:pPr>
      <w:r>
        <w:rPr>
          <w:rFonts w:hint="eastAsia"/>
          <w:color w:val="auto"/>
          <w:lang w:val="en-US" w:eastAsia="zh-CN"/>
        </w:rPr>
        <w:t>开发区现有220kV开阳变、220kV永温变、220kV双流变、110kV高云变、110kV黄金变，开发区电源供给条件完全能够满足需求，供应保障可靠。根据《开阳县2020年国民经济和社会发展统计公报》统计，开阳县2020年规上工业企业用电量为209784万kW·h。</w:t>
      </w:r>
    </w:p>
    <w:p>
      <w:pPr>
        <w:pStyle w:val="4"/>
        <w:bidi w:val="0"/>
        <w:rPr>
          <w:rFonts w:hint="eastAsia"/>
          <w:color w:val="auto"/>
          <w:lang w:val="en-US" w:eastAsia="zh-CN"/>
        </w:rPr>
      </w:pPr>
      <w:bookmarkStart w:id="18" w:name="_Toc11569"/>
      <w:r>
        <w:rPr>
          <w:rFonts w:hint="eastAsia"/>
          <w:color w:val="auto"/>
          <w:lang w:val="en-US" w:eastAsia="zh-CN"/>
        </w:rPr>
        <w:t>2.3.2 供水情况</w:t>
      </w:r>
      <w:bookmarkEnd w:id="18"/>
    </w:p>
    <w:p>
      <w:pPr>
        <w:rPr>
          <w:rFonts w:hint="eastAsia"/>
          <w:color w:val="auto"/>
          <w:lang w:val="en-US" w:eastAsia="zh-CN"/>
        </w:rPr>
      </w:pPr>
      <w:r>
        <w:rPr>
          <w:rFonts w:hint="eastAsia"/>
          <w:color w:val="auto"/>
          <w:lang w:val="en-US" w:eastAsia="zh-CN"/>
        </w:rPr>
        <w:t>贵阳市全市有红枫、百花等大型水库5座、有花溪、阿哈、渔洞峡等中型水库9座，库容蓄水量约20亿立方米。全市现有东郊、南郊、西郊、北郊及中曹等水厂20个，自来水综合生产能力172.60万立方米/日，供水管道长度达到5843.99公里。根据《2020年贵阳市水资源公报》，2020年全市用水总量11.42亿立方米，其中开阳县用水量1.365亿立方米。</w:t>
      </w:r>
    </w:p>
    <w:p>
      <w:pPr>
        <w:rPr>
          <w:rFonts w:hint="eastAsia"/>
          <w:color w:val="auto"/>
          <w:lang w:val="en-US" w:eastAsia="zh-CN"/>
        </w:rPr>
      </w:pPr>
      <w:r>
        <w:rPr>
          <w:rFonts w:hint="eastAsia"/>
          <w:color w:val="auto"/>
          <w:lang w:val="en-US" w:eastAsia="zh-CN"/>
        </w:rPr>
        <w:t>开发区现状主要由永温水厂进行供水。</w:t>
      </w:r>
    </w:p>
    <w:p>
      <w:pPr>
        <w:rPr>
          <w:rFonts w:hint="eastAsia"/>
          <w:color w:val="auto"/>
          <w:lang w:val="en-US" w:eastAsia="zh-CN"/>
        </w:rPr>
      </w:pPr>
      <w:r>
        <w:rPr>
          <w:rFonts w:hint="eastAsia"/>
          <w:color w:val="auto"/>
          <w:lang w:val="en-US" w:eastAsia="zh-CN"/>
        </w:rPr>
        <w:t>永温水厂（现有）：位于永温乡，规划规模为18万m</w:t>
      </w:r>
      <w:r>
        <w:rPr>
          <w:rFonts w:hint="eastAsia"/>
          <w:color w:val="auto"/>
          <w:vertAlign w:val="superscript"/>
          <w:lang w:val="en-US" w:eastAsia="zh-CN"/>
        </w:rPr>
        <w:t>3</w:t>
      </w:r>
      <w:r>
        <w:rPr>
          <w:rFonts w:hint="eastAsia"/>
          <w:color w:val="auto"/>
          <w:lang w:val="en-US" w:eastAsia="zh-CN"/>
        </w:rPr>
        <w:t>/d，规划水源为本地那卡、谷撒、鹿角坝、老堡河水库；可向规划区域供水18万m</w:t>
      </w:r>
      <w:r>
        <w:rPr>
          <w:rFonts w:hint="eastAsia"/>
          <w:color w:val="auto"/>
          <w:vertAlign w:val="superscript"/>
          <w:lang w:val="en-US" w:eastAsia="zh-CN"/>
        </w:rPr>
        <w:t>3</w:t>
      </w:r>
      <w:r>
        <w:rPr>
          <w:rFonts w:hint="eastAsia"/>
          <w:color w:val="auto"/>
          <w:lang w:val="en-US" w:eastAsia="zh-CN"/>
        </w:rPr>
        <w:t>/d。</w:t>
      </w:r>
    </w:p>
    <w:p>
      <w:pPr>
        <w:rPr>
          <w:rFonts w:hint="eastAsia"/>
          <w:color w:val="auto"/>
          <w:lang w:val="en-US" w:eastAsia="zh-CN"/>
        </w:rPr>
      </w:pPr>
      <w:r>
        <w:rPr>
          <w:rFonts w:hint="eastAsia"/>
          <w:color w:val="auto"/>
          <w:lang w:val="en-US" w:eastAsia="zh-CN"/>
        </w:rPr>
        <w:t>结合周边路网进行建设，同步建设供水主干管。在规划区建设城市次干道、支路同时建设给水管，给水管连接成环状管网，以保证供水安全，然后由枝状配水管配至每个地块内部。给水管道沿道路敷设，给水管道在30m以上道路双侧布置，30m以下道路单侧布置。在≥DN100mm管上按不大于120m间距设置市政消火栓，保证消防供水安全。</w:t>
      </w:r>
    </w:p>
    <w:p>
      <w:pPr>
        <w:rPr>
          <w:rFonts w:hint="eastAsia"/>
          <w:color w:val="auto"/>
          <w:lang w:val="en-US" w:eastAsia="zh-CN"/>
        </w:rPr>
      </w:pPr>
      <w:r>
        <w:rPr>
          <w:rFonts w:hint="eastAsia"/>
          <w:color w:val="auto"/>
          <w:lang w:val="en-US" w:eastAsia="zh-CN"/>
        </w:rPr>
        <w:t>依托外调水源及本地骨干水源，构建以贵阳乌江供水工程、那卡河水库、谷撒河水库等水源为骨架水源的多水源供水格局，加强水资源节约集约安全利用。根据开阳县主要水库规划布局，规划区域内主要由贵阳乌江供水工程、鹿角坝水库、老堡河水库、那卡河水库及谷撒河水库等水库提供水源。可提供约1.06亿m</w:t>
      </w:r>
      <w:r>
        <w:rPr>
          <w:rFonts w:hint="eastAsia"/>
          <w:color w:val="auto"/>
          <w:vertAlign w:val="superscript"/>
          <w:lang w:val="en-US" w:eastAsia="zh-CN"/>
        </w:rPr>
        <w:t>3</w:t>
      </w:r>
      <w:r>
        <w:rPr>
          <w:rFonts w:hint="eastAsia"/>
          <w:color w:val="auto"/>
          <w:lang w:val="en-US" w:eastAsia="zh-CN"/>
        </w:rPr>
        <w:t>/a。开发区水源供给条件完全能够满足需求，供应保障可靠。</w:t>
      </w:r>
    </w:p>
    <w:p>
      <w:pPr>
        <w:pStyle w:val="4"/>
        <w:bidi w:val="0"/>
        <w:rPr>
          <w:rFonts w:hint="eastAsia"/>
          <w:color w:val="auto"/>
          <w:lang w:val="en-US" w:eastAsia="zh-CN"/>
        </w:rPr>
      </w:pPr>
      <w:bookmarkStart w:id="19" w:name="_Toc24133"/>
      <w:r>
        <w:rPr>
          <w:rFonts w:hint="eastAsia"/>
          <w:color w:val="auto"/>
          <w:lang w:val="en-US" w:eastAsia="zh-CN"/>
        </w:rPr>
        <w:t>2.3.3 天然气供应情况</w:t>
      </w:r>
      <w:bookmarkEnd w:id="19"/>
    </w:p>
    <w:p>
      <w:pPr>
        <w:rPr>
          <w:rFonts w:hint="eastAsia"/>
          <w:color w:val="auto"/>
          <w:lang w:val="en-US" w:eastAsia="zh-CN"/>
        </w:rPr>
      </w:pPr>
      <w:r>
        <w:rPr>
          <w:rFonts w:hint="eastAsia"/>
          <w:color w:val="auto"/>
          <w:lang w:val="en-US" w:eastAsia="zh-CN"/>
        </w:rPr>
        <w:t>截止2018年底，中缅、中长天然气输气管道已全线通气，贵州省内的天然气供应保障由贵州燃气集团股份有限公司全面承担。已建成3条省内天然气支线管道，建设及运行管理LNG接收储备供应站、LNG综合站、L-CNG加气站、CNG加气站等各类场站40余座；贵阳市在花溪修建了白蜡冲、孟关等地天然气门站及高中压调压站4座、天然气高压环网62公里，天然气入城联络线2条。</w:t>
      </w:r>
    </w:p>
    <w:p>
      <w:pPr>
        <w:rPr>
          <w:rFonts w:hint="eastAsia"/>
          <w:color w:val="auto"/>
          <w:lang w:val="en-US" w:eastAsia="zh-CN"/>
        </w:rPr>
      </w:pPr>
      <w:r>
        <w:rPr>
          <w:rFonts w:hint="eastAsia"/>
          <w:color w:val="auto"/>
          <w:lang w:val="en-US" w:eastAsia="zh-CN"/>
        </w:rPr>
        <w:t>目前，园区内“中缅”和“中贵”天然气长输管线已建成通气，开阳县已完成自修文天然气门站至经开区天然气高压管道建设。可满足开发区内天然气使用需求。</w:t>
      </w:r>
    </w:p>
    <w:p>
      <w:pPr>
        <w:pStyle w:val="3"/>
        <w:bidi w:val="0"/>
        <w:rPr>
          <w:rFonts w:hint="eastAsia"/>
          <w:color w:val="auto"/>
          <w:lang w:val="en-US" w:eastAsia="zh-CN"/>
        </w:rPr>
      </w:pPr>
      <w:bookmarkStart w:id="20" w:name="_Toc26242"/>
      <w:r>
        <w:rPr>
          <w:rFonts w:hint="eastAsia"/>
          <w:color w:val="auto"/>
          <w:lang w:val="en-US" w:eastAsia="zh-CN"/>
        </w:rPr>
        <w:t>2.4 园区能源发展规划</w:t>
      </w:r>
      <w:bookmarkEnd w:id="20"/>
    </w:p>
    <w:p>
      <w:pPr>
        <w:pStyle w:val="4"/>
        <w:bidi w:val="0"/>
        <w:rPr>
          <w:rFonts w:hint="eastAsia"/>
          <w:color w:val="auto"/>
          <w:lang w:val="en-US" w:eastAsia="zh-CN"/>
        </w:rPr>
      </w:pPr>
      <w:bookmarkStart w:id="21" w:name="_Toc22093"/>
      <w:r>
        <w:rPr>
          <w:rFonts w:hint="eastAsia"/>
          <w:color w:val="auto"/>
          <w:lang w:val="en-US" w:eastAsia="zh-CN"/>
        </w:rPr>
        <w:t>2.4.1 电力</w:t>
      </w:r>
      <w:bookmarkEnd w:id="21"/>
    </w:p>
    <w:p>
      <w:pPr>
        <w:bidi w:val="0"/>
        <w:rPr>
          <w:rFonts w:hint="eastAsia"/>
          <w:color w:val="auto"/>
          <w:lang w:val="en-US" w:eastAsia="zh-CN"/>
        </w:rPr>
      </w:pPr>
      <w:r>
        <w:rPr>
          <w:rFonts w:hint="eastAsia"/>
          <w:color w:val="auto"/>
          <w:lang w:val="en-US" w:eastAsia="zh-CN"/>
        </w:rPr>
        <w:t>开发区现有供电设施，包括现有220kV开阳变、220kV永温变、220kV双流变、110kV高云变、110kV黄金变；区域内近期规划新建白安变、大坝变、乡山变3座220kV变电站，在金中组团新建110kV洋水变，为片区供电；远期新建220kV陶家坝变，作为区域地块专用变电站。区域内共布局220kV变电站7座，110kV变电站3座，作为区域110kV、10kV直供电源。可供电总容量为3447兆伏安，可满足开发区供电需求。</w:t>
      </w:r>
    </w:p>
    <w:p>
      <w:pPr>
        <w:pStyle w:val="4"/>
        <w:bidi w:val="0"/>
        <w:rPr>
          <w:rFonts w:hint="eastAsia"/>
          <w:color w:val="auto"/>
          <w:lang w:val="en-US" w:eastAsia="zh-CN"/>
        </w:rPr>
      </w:pPr>
      <w:bookmarkStart w:id="22" w:name="_Toc7320"/>
      <w:r>
        <w:rPr>
          <w:rFonts w:hint="eastAsia"/>
          <w:color w:val="auto"/>
          <w:lang w:val="en-US" w:eastAsia="zh-CN"/>
        </w:rPr>
        <w:t>2.4.2 天然气</w:t>
      </w:r>
      <w:bookmarkEnd w:id="22"/>
    </w:p>
    <w:p>
      <w:pPr>
        <w:bidi w:val="0"/>
        <w:rPr>
          <w:rFonts w:hint="eastAsia"/>
          <w:color w:val="auto"/>
          <w:lang w:val="en-US" w:eastAsia="zh-CN"/>
        </w:rPr>
      </w:pPr>
      <w:r>
        <w:rPr>
          <w:rFonts w:hint="eastAsia"/>
          <w:color w:val="auto"/>
          <w:lang w:val="en-US" w:eastAsia="zh-CN"/>
        </w:rPr>
        <w:t>根据《开阳县工业园区规划（中期方案）》，至土地全部开发完成，开发区现状居住人口为2.42万人，直接就业人口为2.94万人，眷属人口为2.21万人，则总人口约7.57万人。根据《2020年贵阳市国民经济和社会发展统计公报》，贵阳市2020年全市天然气供气总量60507万立方米，其中家庭用量24228万立方米，家庭用户126.11万户，折合户均天然气消耗量为0.53m</w:t>
      </w:r>
      <w:r>
        <w:rPr>
          <w:rFonts w:hint="eastAsia"/>
          <w:color w:val="auto"/>
          <w:vertAlign w:val="superscript"/>
          <w:lang w:val="en-US" w:eastAsia="zh-CN"/>
        </w:rPr>
        <w:t>3</w:t>
      </w:r>
      <w:r>
        <w:rPr>
          <w:rFonts w:hint="eastAsia"/>
          <w:color w:val="auto"/>
          <w:lang w:val="en-US" w:eastAsia="zh-CN"/>
        </w:rPr>
        <w:t>/户·d，非居民用气约为居民用气的150%，则可预测规划期末总用气量约为8万Nm</w:t>
      </w:r>
      <w:r>
        <w:rPr>
          <w:rFonts w:hint="eastAsia"/>
          <w:color w:val="auto"/>
          <w:vertAlign w:val="superscript"/>
          <w:lang w:val="en-US" w:eastAsia="zh-CN"/>
        </w:rPr>
        <w:t>3</w:t>
      </w:r>
      <w:r>
        <w:rPr>
          <w:rFonts w:hint="eastAsia"/>
          <w:color w:val="auto"/>
          <w:lang w:val="en-US" w:eastAsia="zh-CN"/>
        </w:rPr>
        <w:t>/d。</w:t>
      </w:r>
    </w:p>
    <w:p>
      <w:pPr>
        <w:bidi w:val="0"/>
        <w:rPr>
          <w:rFonts w:hint="eastAsia"/>
          <w:color w:val="auto"/>
          <w:lang w:val="en-US" w:eastAsia="zh-CN"/>
        </w:rPr>
      </w:pPr>
      <w:r>
        <w:rPr>
          <w:rFonts w:hint="eastAsia"/>
          <w:color w:val="auto"/>
          <w:lang w:val="en-US" w:eastAsia="zh-CN"/>
        </w:rPr>
        <w:t>规划利用现状已建开阳天然气门站，建设高压管线经永温镇至金钟镇，并于永温镇及金钟镇各建一座天然气高中压调压站。结合现状三环磨料高中压调压站，建设高压管线至双流镇中心区域建设双流高中压调压站进行燃气配置。规划以液化石油气作为区域辅助气源。</w:t>
      </w:r>
    </w:p>
    <w:p>
      <w:pPr>
        <w:pStyle w:val="4"/>
        <w:bidi w:val="0"/>
        <w:rPr>
          <w:rFonts w:hint="eastAsia"/>
          <w:color w:val="auto"/>
          <w:lang w:val="en-US" w:eastAsia="zh-CN"/>
        </w:rPr>
      </w:pPr>
      <w:bookmarkStart w:id="23" w:name="_Toc15145"/>
      <w:r>
        <w:rPr>
          <w:rFonts w:hint="eastAsia"/>
          <w:color w:val="auto"/>
          <w:lang w:val="en-US" w:eastAsia="zh-CN"/>
        </w:rPr>
        <w:t>2.4.3 新水</w:t>
      </w:r>
      <w:bookmarkEnd w:id="23"/>
    </w:p>
    <w:p>
      <w:pPr>
        <w:bidi w:val="0"/>
        <w:rPr>
          <w:rFonts w:hint="eastAsia"/>
          <w:color w:val="auto"/>
          <w:lang w:val="en-US" w:eastAsia="zh-CN"/>
        </w:rPr>
      </w:pPr>
      <w:r>
        <w:rPr>
          <w:rFonts w:hint="eastAsia"/>
          <w:color w:val="auto"/>
          <w:lang w:val="en-US" w:eastAsia="zh-CN"/>
        </w:rPr>
        <w:t>根据《2020年贵阳市水资源公报》，2020年，贵阳市工业耗水量为1.740亿立方米，居民生活耗水量为0.683亿立方</w:t>
      </w:r>
      <w:r>
        <w:rPr>
          <w:rFonts w:hint="eastAsia"/>
          <w:color w:val="auto"/>
          <w:highlight w:val="none"/>
          <w:lang w:val="en-US" w:eastAsia="zh-CN"/>
        </w:rPr>
        <w:t>米，工业耗水量为居民生活耗水量的2.55倍；</w:t>
      </w:r>
      <w:r>
        <w:rPr>
          <w:rFonts w:hint="eastAsia"/>
          <w:color w:val="auto"/>
          <w:lang w:val="en-US" w:eastAsia="zh-CN"/>
        </w:rPr>
        <w:t>开阳县工业耗水量为0.171亿立方米，居民生活耗水量为0.053亿立方米，工业耗水量为居民生活耗水量3.23倍；根据《开阳县工业园区规划（中期方案）》，至土地全部开发完成，开发区人口约7.57万人，根据《城市给水工程规划规范》（GB 50282-2016），采用不同类别用地用水量指标预测区域最高日用水量，规划区域预测最高日用水量为29.2万m</w:t>
      </w:r>
      <w:r>
        <w:rPr>
          <w:rFonts w:hint="eastAsia"/>
          <w:color w:val="auto"/>
          <w:vertAlign w:val="superscript"/>
          <w:lang w:val="en-US" w:eastAsia="zh-CN"/>
        </w:rPr>
        <w:t>3</w:t>
      </w:r>
      <w:r>
        <w:rPr>
          <w:rFonts w:hint="eastAsia"/>
          <w:color w:val="auto"/>
          <w:lang w:val="en-US" w:eastAsia="zh-CN"/>
        </w:rPr>
        <w:t>/d，平均日用水量24.3万m</w:t>
      </w:r>
      <w:r>
        <w:rPr>
          <w:rFonts w:hint="eastAsia"/>
          <w:color w:val="auto"/>
          <w:vertAlign w:val="superscript"/>
          <w:lang w:val="en-US" w:eastAsia="zh-CN"/>
        </w:rPr>
        <w:t>3</w:t>
      </w:r>
      <w:r>
        <w:rPr>
          <w:rFonts w:hint="eastAsia"/>
          <w:color w:val="auto"/>
          <w:lang w:val="en-US" w:eastAsia="zh-CN"/>
        </w:rPr>
        <w:t>/d（日变化系数取1.2）。</w:t>
      </w:r>
    </w:p>
    <w:p>
      <w:pPr>
        <w:bidi w:val="0"/>
        <w:rPr>
          <w:rFonts w:hint="eastAsia"/>
          <w:color w:val="auto"/>
          <w:lang w:val="en-US" w:eastAsia="zh-CN"/>
        </w:rPr>
      </w:pPr>
      <w:r>
        <w:rPr>
          <w:rFonts w:hint="eastAsia"/>
          <w:color w:val="auto"/>
          <w:lang w:val="en-US" w:eastAsia="zh-CN"/>
        </w:rPr>
        <w:t>开发区现状由永温水厂供水，规划新建王家湾水厂（规划规模为17万m</w:t>
      </w:r>
      <w:r>
        <w:rPr>
          <w:rFonts w:hint="eastAsia"/>
          <w:color w:val="auto"/>
          <w:vertAlign w:val="superscript"/>
          <w:lang w:val="en-US" w:eastAsia="zh-CN"/>
        </w:rPr>
        <w:t>3</w:t>
      </w:r>
      <w:r>
        <w:rPr>
          <w:rFonts w:hint="eastAsia"/>
          <w:color w:val="auto"/>
          <w:lang w:val="en-US" w:eastAsia="zh-CN"/>
        </w:rPr>
        <w:t>/d），供水水源为贵阳乌江供水工程、杉木林、罗家坡及简上水库。该水厂同时考虑为远期替换翁井水库向开阳县城供水；可向规划区域供水约12万m</w:t>
      </w:r>
      <w:r>
        <w:rPr>
          <w:rFonts w:hint="eastAsia"/>
          <w:color w:val="auto"/>
          <w:vertAlign w:val="superscript"/>
          <w:lang w:val="en-US" w:eastAsia="zh-CN"/>
        </w:rPr>
        <w:t>3</w:t>
      </w:r>
      <w:r>
        <w:rPr>
          <w:rFonts w:hint="eastAsia"/>
          <w:color w:val="auto"/>
          <w:lang w:val="en-US" w:eastAsia="zh-CN"/>
        </w:rPr>
        <w:t>/d进行供水。</w:t>
      </w:r>
    </w:p>
    <w:p>
      <w:pPr>
        <w:rPr>
          <w:rFonts w:hint="eastAsia"/>
          <w:color w:val="auto"/>
          <w:lang w:val="en-US" w:eastAsia="zh-CN"/>
        </w:rPr>
      </w:pPr>
      <w:r>
        <w:rPr>
          <w:rFonts w:hint="eastAsia"/>
          <w:color w:val="auto"/>
          <w:lang w:val="en-US" w:eastAsia="zh-CN"/>
        </w:rPr>
        <w:br w:type="page"/>
      </w:r>
    </w:p>
    <w:p>
      <w:pPr>
        <w:pStyle w:val="2"/>
        <w:bidi w:val="0"/>
        <w:rPr>
          <w:rFonts w:hint="eastAsia"/>
          <w:color w:val="auto"/>
          <w:lang w:val="en-US" w:eastAsia="zh-CN"/>
        </w:rPr>
      </w:pPr>
      <w:bookmarkStart w:id="24" w:name="_Toc13261"/>
      <w:r>
        <w:rPr>
          <w:rFonts w:hint="eastAsia"/>
          <w:color w:val="auto"/>
          <w:lang w:val="en-US" w:eastAsia="zh-CN"/>
        </w:rPr>
        <w:t>第三章 区域用能预测及节能“双控”指标确定</w:t>
      </w:r>
      <w:bookmarkEnd w:id="24"/>
    </w:p>
    <w:p>
      <w:pPr>
        <w:pStyle w:val="3"/>
        <w:bidi w:val="0"/>
        <w:rPr>
          <w:rFonts w:hint="eastAsia"/>
          <w:color w:val="auto"/>
          <w:lang w:val="en-US" w:eastAsia="zh-CN"/>
        </w:rPr>
      </w:pPr>
      <w:bookmarkStart w:id="25" w:name="_Toc4806"/>
      <w:r>
        <w:rPr>
          <w:rFonts w:hint="eastAsia"/>
          <w:color w:val="auto"/>
          <w:lang w:val="en-US" w:eastAsia="zh-CN"/>
        </w:rPr>
        <w:t>3.1 区域用能预测</w:t>
      </w:r>
      <w:bookmarkEnd w:id="25"/>
    </w:p>
    <w:p>
      <w:pPr>
        <w:pStyle w:val="4"/>
        <w:bidi w:val="0"/>
        <w:rPr>
          <w:rFonts w:hint="default"/>
          <w:color w:val="auto"/>
          <w:lang w:val="en-US" w:eastAsia="zh-CN"/>
        </w:rPr>
      </w:pPr>
      <w:bookmarkStart w:id="26" w:name="_Toc2396"/>
      <w:r>
        <w:rPr>
          <w:rFonts w:hint="eastAsia"/>
          <w:color w:val="auto"/>
          <w:lang w:val="en-US" w:eastAsia="zh-CN"/>
        </w:rPr>
        <w:t>3.1.1 现有规上企业情况</w:t>
      </w:r>
      <w:bookmarkEnd w:id="26"/>
    </w:p>
    <w:p>
      <w:pPr>
        <w:rPr>
          <w:rFonts w:hint="eastAsia"/>
          <w:color w:val="auto"/>
          <w:highlight w:val="yellow"/>
          <w:lang w:val="en-US" w:eastAsia="zh-CN"/>
        </w:rPr>
      </w:pPr>
      <w:r>
        <w:rPr>
          <w:rFonts w:hint="eastAsia"/>
          <w:color w:val="auto"/>
          <w:lang w:val="en-US" w:eastAsia="zh-CN"/>
        </w:rPr>
        <w:t>本次评估区域贵州开阳经济开发区（开阳县工业园区）总用地</w:t>
      </w:r>
      <w:r>
        <w:rPr>
          <w:rFonts w:hint="eastAsia"/>
          <w:color w:val="auto"/>
          <w:highlight w:val="none"/>
          <w:lang w:val="en-US" w:eastAsia="zh-CN"/>
        </w:rPr>
        <w:t>100.04平方公里。</w:t>
      </w:r>
    </w:p>
    <w:p>
      <w:pPr>
        <w:rPr>
          <w:rFonts w:hint="eastAsia"/>
          <w:color w:val="auto"/>
          <w:lang w:val="en-US" w:eastAsia="zh-CN"/>
        </w:rPr>
      </w:pPr>
      <w:r>
        <w:rPr>
          <w:rFonts w:hint="eastAsia"/>
          <w:color w:val="auto"/>
          <w:lang w:val="en-US" w:eastAsia="zh-CN"/>
        </w:rPr>
        <w:t>现有规上企业34家。截止2022年2月，已洽谈的拟入驻项目（含原有项目升级技改）有32个，园区规划形成以磷系新材料、氯材料、钛材料、储能产业、铝基新材料、新型建材、特色农产品为主的产业集聚。</w:t>
      </w:r>
    </w:p>
    <w:p>
      <w:pPr>
        <w:rPr>
          <w:rFonts w:hint="eastAsia"/>
          <w:color w:val="auto"/>
          <w:lang w:val="en-US" w:eastAsia="zh-CN"/>
        </w:rPr>
      </w:pPr>
      <w:r>
        <w:rPr>
          <w:rFonts w:hint="eastAsia"/>
          <w:color w:val="auto"/>
          <w:lang w:val="en-US" w:eastAsia="zh-CN"/>
        </w:rPr>
        <w:t>本节将依据现有开发区规划及下一步发展打算，测算区域用能总量，并提出区域近期内的“双控”目标，作为本次区域能评负面清单的主要依据。</w:t>
      </w:r>
    </w:p>
    <w:p>
      <w:pPr>
        <w:rPr>
          <w:rFonts w:hint="eastAsia"/>
          <w:color w:val="auto"/>
          <w:lang w:val="en-US" w:eastAsia="zh-CN"/>
        </w:rPr>
      </w:pPr>
      <w:r>
        <w:rPr>
          <w:rFonts w:hint="eastAsia"/>
          <w:color w:val="auto"/>
          <w:lang w:val="en-US" w:eastAsia="zh-CN"/>
        </w:rPr>
        <w:t>根据园区各规上企业调研数据，园区规上企业共计34家，2018年实现总产值194.29亿元，工业增加值52.46亿元；2019年实现总产值142.79亿元，工业增加值38.98亿元；2020年实现总产值107.43亿元，工业增加值29.79亿元。详见表3-1。</w:t>
      </w: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r>
        <w:rPr>
          <w:rFonts w:hint="eastAsia"/>
          <w:color w:val="auto"/>
          <w:lang w:val="en-US" w:eastAsia="zh-CN"/>
        </w:rPr>
        <w:t>表3-1 开发区规模以上工业企业2018-2020经营情况表</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26"/>
        <w:gridCol w:w="1185"/>
        <w:gridCol w:w="3111"/>
        <w:gridCol w:w="33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仿宋_GB2312" w:hAnsi="宋体" w:eastAsia="仿宋_GB2312" w:cs="仿宋_GB2312"/>
                <w:b w:val="0"/>
                <w:bCs w:val="0"/>
                <w:i w:val="0"/>
                <w:iCs w:val="0"/>
                <w:color w:val="auto"/>
                <w:kern w:val="0"/>
                <w:sz w:val="24"/>
                <w:szCs w:val="24"/>
                <w:u w:val="none"/>
                <w:lang w:val="en-US" w:eastAsia="zh-CN" w:bidi="ar"/>
              </w:rPr>
            </w:pPr>
            <w:r>
              <w:rPr>
                <w:rFonts w:hint="default" w:ascii="仿宋_GB2312" w:hAnsi="宋体" w:eastAsia="仿宋_GB2312" w:cs="仿宋_GB2312"/>
                <w:b w:val="0"/>
                <w:bCs w:val="0"/>
                <w:i w:val="0"/>
                <w:iCs w:val="0"/>
                <w:color w:val="auto"/>
                <w:kern w:val="0"/>
                <w:sz w:val="24"/>
                <w:szCs w:val="24"/>
                <w:u w:val="none"/>
                <w:lang w:val="en-US" w:eastAsia="zh-CN" w:bidi="ar"/>
              </w:rPr>
              <w:t>序号</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仿宋_GB2312" w:hAnsi="宋体" w:eastAsia="仿宋_GB2312" w:cs="仿宋_GB2312"/>
                <w:b w:val="0"/>
                <w:bCs w:val="0"/>
                <w:i w:val="0"/>
                <w:iCs w:val="0"/>
                <w:color w:val="auto"/>
                <w:kern w:val="0"/>
                <w:sz w:val="24"/>
                <w:szCs w:val="24"/>
                <w:u w:val="none"/>
                <w:lang w:val="en-US" w:eastAsia="zh-CN" w:bidi="ar"/>
              </w:rPr>
            </w:pPr>
            <w:r>
              <w:rPr>
                <w:rFonts w:hint="default" w:ascii="仿宋_GB2312" w:hAnsi="宋体" w:eastAsia="仿宋_GB2312" w:cs="仿宋_GB2312"/>
                <w:b w:val="0"/>
                <w:bCs w:val="0"/>
                <w:i w:val="0"/>
                <w:iCs w:val="0"/>
                <w:color w:val="auto"/>
                <w:kern w:val="0"/>
                <w:sz w:val="24"/>
                <w:szCs w:val="24"/>
                <w:u w:val="none"/>
                <w:lang w:val="en-US" w:eastAsia="zh-CN" w:bidi="ar"/>
              </w:rPr>
              <w:t>年份</w:t>
            </w:r>
          </w:p>
        </w:tc>
        <w:tc>
          <w:tcPr>
            <w:tcW w:w="18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仿宋_GB2312" w:hAnsi="宋体" w:eastAsia="仿宋_GB2312" w:cs="仿宋_GB2312"/>
                <w:b w:val="0"/>
                <w:bCs w:val="0"/>
                <w:i w:val="0"/>
                <w:iCs w:val="0"/>
                <w:color w:val="auto"/>
                <w:kern w:val="0"/>
                <w:sz w:val="24"/>
                <w:szCs w:val="24"/>
                <w:u w:val="none"/>
                <w:lang w:val="en-US" w:eastAsia="zh-CN" w:bidi="ar"/>
              </w:rPr>
            </w:pPr>
            <w:r>
              <w:rPr>
                <w:rFonts w:hint="default" w:ascii="仿宋_GB2312" w:hAnsi="宋体" w:eastAsia="仿宋_GB2312" w:cs="仿宋_GB2312"/>
                <w:b w:val="0"/>
                <w:bCs w:val="0"/>
                <w:i w:val="0"/>
                <w:iCs w:val="0"/>
                <w:color w:val="auto"/>
                <w:kern w:val="0"/>
                <w:sz w:val="24"/>
                <w:szCs w:val="24"/>
                <w:u w:val="none"/>
                <w:lang w:val="en-US" w:eastAsia="zh-CN" w:bidi="ar"/>
              </w:rPr>
              <w:t>工业企业产值（万元）</w:t>
            </w:r>
          </w:p>
        </w:tc>
        <w:tc>
          <w:tcPr>
            <w:tcW w:w="19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仿宋_GB2312" w:hAnsi="宋体" w:eastAsia="仿宋_GB2312" w:cs="仿宋_GB2312"/>
                <w:b w:val="0"/>
                <w:bCs w:val="0"/>
                <w:i w:val="0"/>
                <w:iCs w:val="0"/>
                <w:color w:val="auto"/>
                <w:kern w:val="0"/>
                <w:sz w:val="24"/>
                <w:szCs w:val="24"/>
                <w:u w:val="none"/>
                <w:lang w:val="en-US" w:eastAsia="zh-CN" w:bidi="ar"/>
              </w:rPr>
            </w:pPr>
            <w:r>
              <w:rPr>
                <w:rFonts w:hint="default" w:ascii="仿宋_GB2312" w:hAnsi="宋体" w:eastAsia="仿宋_GB2312" w:cs="仿宋_GB2312"/>
                <w:b w:val="0"/>
                <w:bCs w:val="0"/>
                <w:i w:val="0"/>
                <w:iCs w:val="0"/>
                <w:color w:val="auto"/>
                <w:kern w:val="0"/>
                <w:sz w:val="24"/>
                <w:szCs w:val="24"/>
                <w:u w:val="none"/>
                <w:lang w:val="en-US" w:eastAsia="zh-CN" w:bidi="ar"/>
              </w:rPr>
              <w:t>工业企业增加值（万元）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仿宋_GB2312" w:hAnsi="宋体" w:eastAsia="仿宋_GB2312" w:cs="仿宋_GB2312"/>
                <w:b w:val="0"/>
                <w:bCs w:val="0"/>
                <w:i w:val="0"/>
                <w:iCs w:val="0"/>
                <w:color w:val="auto"/>
                <w:kern w:val="0"/>
                <w:sz w:val="24"/>
                <w:szCs w:val="24"/>
                <w:u w:val="none"/>
                <w:lang w:val="en-US" w:eastAsia="zh-CN" w:bidi="ar"/>
              </w:rPr>
            </w:pPr>
            <w:r>
              <w:rPr>
                <w:rFonts w:hint="default" w:ascii="仿宋_GB2312" w:hAnsi="宋体" w:eastAsia="仿宋_GB2312" w:cs="仿宋_GB2312"/>
                <w:b w:val="0"/>
                <w:bCs w:val="0"/>
                <w:i w:val="0"/>
                <w:iCs w:val="0"/>
                <w:color w:val="auto"/>
                <w:kern w:val="0"/>
                <w:sz w:val="24"/>
                <w:szCs w:val="24"/>
                <w:u w:val="none"/>
                <w:lang w:val="en-US" w:eastAsia="zh-CN" w:bidi="ar"/>
              </w:rPr>
              <w:t>1</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仿宋_GB2312" w:hAnsi="宋体" w:eastAsia="仿宋_GB2312" w:cs="仿宋_GB2312"/>
                <w:b w:val="0"/>
                <w:bCs w:val="0"/>
                <w:i w:val="0"/>
                <w:iCs w:val="0"/>
                <w:color w:val="auto"/>
                <w:kern w:val="0"/>
                <w:sz w:val="24"/>
                <w:szCs w:val="24"/>
                <w:u w:val="none"/>
                <w:lang w:val="en-US" w:eastAsia="zh-CN" w:bidi="ar"/>
              </w:rPr>
            </w:pPr>
            <w:r>
              <w:rPr>
                <w:rFonts w:hint="default" w:ascii="仿宋_GB2312" w:hAnsi="宋体" w:eastAsia="仿宋_GB2312" w:cs="仿宋_GB2312"/>
                <w:b w:val="0"/>
                <w:bCs w:val="0"/>
                <w:i w:val="0"/>
                <w:iCs w:val="0"/>
                <w:color w:val="auto"/>
                <w:kern w:val="0"/>
                <w:sz w:val="24"/>
                <w:szCs w:val="24"/>
                <w:u w:val="none"/>
                <w:lang w:val="en-US" w:eastAsia="zh-CN" w:bidi="ar"/>
              </w:rPr>
              <w:t>2018年</w:t>
            </w:r>
          </w:p>
        </w:tc>
        <w:tc>
          <w:tcPr>
            <w:tcW w:w="3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仿宋_GB2312" w:hAnsi="宋体" w:eastAsia="仿宋_GB2312" w:cs="仿宋_GB2312"/>
                <w:b w:val="0"/>
                <w:bCs w:val="0"/>
                <w:i w:val="0"/>
                <w:iCs w:val="0"/>
                <w:color w:val="auto"/>
                <w:kern w:val="0"/>
                <w:sz w:val="24"/>
                <w:szCs w:val="24"/>
                <w:u w:val="none"/>
                <w:lang w:val="en-US" w:eastAsia="zh-CN" w:bidi="ar"/>
              </w:rPr>
            </w:pPr>
            <w:r>
              <w:rPr>
                <w:rFonts w:hint="default" w:ascii="仿宋_GB2312" w:hAnsi="宋体" w:eastAsia="仿宋_GB2312" w:cs="仿宋_GB2312"/>
                <w:b w:val="0"/>
                <w:bCs w:val="0"/>
                <w:i w:val="0"/>
                <w:iCs w:val="0"/>
                <w:color w:val="auto"/>
                <w:kern w:val="0"/>
                <w:sz w:val="24"/>
                <w:szCs w:val="24"/>
                <w:u w:val="none"/>
                <w:lang w:val="en-US" w:eastAsia="zh-CN" w:bidi="ar"/>
              </w:rPr>
              <w:t>1942863.62</w:t>
            </w:r>
          </w:p>
        </w:tc>
        <w:tc>
          <w:tcPr>
            <w:tcW w:w="33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仿宋_GB2312" w:hAnsi="宋体" w:eastAsia="仿宋_GB2312" w:cs="仿宋_GB2312"/>
                <w:b w:val="0"/>
                <w:bCs w:val="0"/>
                <w:i w:val="0"/>
                <w:iCs w:val="0"/>
                <w:color w:val="auto"/>
                <w:kern w:val="0"/>
                <w:sz w:val="24"/>
                <w:szCs w:val="24"/>
                <w:u w:val="none"/>
                <w:lang w:val="en-US" w:eastAsia="zh-CN" w:bidi="ar"/>
              </w:rPr>
            </w:pPr>
            <w:r>
              <w:rPr>
                <w:rFonts w:hint="default" w:ascii="仿宋_GB2312" w:hAnsi="宋体" w:eastAsia="仿宋_GB2312" w:cs="仿宋_GB2312"/>
                <w:b w:val="0"/>
                <w:bCs w:val="0"/>
                <w:i w:val="0"/>
                <w:iCs w:val="0"/>
                <w:color w:val="auto"/>
                <w:kern w:val="0"/>
                <w:sz w:val="24"/>
                <w:szCs w:val="24"/>
                <w:u w:val="none"/>
                <w:lang w:val="en-US" w:eastAsia="zh-CN" w:bidi="ar"/>
              </w:rPr>
              <w:t>524573.18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仿宋_GB2312" w:hAnsi="宋体" w:eastAsia="仿宋_GB2312" w:cs="仿宋_GB2312"/>
                <w:b w:val="0"/>
                <w:bCs w:val="0"/>
                <w:i w:val="0"/>
                <w:iCs w:val="0"/>
                <w:color w:val="auto"/>
                <w:kern w:val="0"/>
                <w:sz w:val="24"/>
                <w:szCs w:val="24"/>
                <w:u w:val="none"/>
                <w:lang w:val="en-US" w:eastAsia="zh-CN" w:bidi="ar"/>
              </w:rPr>
            </w:pPr>
            <w:r>
              <w:rPr>
                <w:rFonts w:hint="default" w:ascii="仿宋_GB2312" w:hAnsi="宋体" w:eastAsia="仿宋_GB2312" w:cs="仿宋_GB2312"/>
                <w:b w:val="0"/>
                <w:bCs w:val="0"/>
                <w:i w:val="0"/>
                <w:iCs w:val="0"/>
                <w:color w:val="auto"/>
                <w:kern w:val="0"/>
                <w:sz w:val="24"/>
                <w:szCs w:val="24"/>
                <w:u w:val="none"/>
                <w:lang w:val="en-US" w:eastAsia="zh-CN" w:bidi="ar"/>
              </w:rPr>
              <w:t>2</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仿宋_GB2312" w:hAnsi="宋体" w:eastAsia="仿宋_GB2312" w:cs="仿宋_GB2312"/>
                <w:b w:val="0"/>
                <w:bCs w:val="0"/>
                <w:i w:val="0"/>
                <w:iCs w:val="0"/>
                <w:color w:val="auto"/>
                <w:kern w:val="0"/>
                <w:sz w:val="24"/>
                <w:szCs w:val="24"/>
                <w:u w:val="none"/>
                <w:lang w:val="en-US" w:eastAsia="zh-CN" w:bidi="ar"/>
              </w:rPr>
            </w:pPr>
            <w:r>
              <w:rPr>
                <w:rFonts w:hint="default" w:ascii="仿宋_GB2312" w:hAnsi="宋体" w:eastAsia="仿宋_GB2312" w:cs="仿宋_GB2312"/>
                <w:b w:val="0"/>
                <w:bCs w:val="0"/>
                <w:i w:val="0"/>
                <w:iCs w:val="0"/>
                <w:color w:val="auto"/>
                <w:kern w:val="0"/>
                <w:sz w:val="24"/>
                <w:szCs w:val="24"/>
                <w:u w:val="none"/>
                <w:lang w:val="en-US" w:eastAsia="zh-CN" w:bidi="ar"/>
              </w:rPr>
              <w:t>2019年</w:t>
            </w:r>
          </w:p>
        </w:tc>
        <w:tc>
          <w:tcPr>
            <w:tcW w:w="3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仿宋_GB2312" w:hAnsi="宋体" w:eastAsia="仿宋_GB2312" w:cs="仿宋_GB2312"/>
                <w:b w:val="0"/>
                <w:bCs w:val="0"/>
                <w:i w:val="0"/>
                <w:iCs w:val="0"/>
                <w:color w:val="auto"/>
                <w:kern w:val="0"/>
                <w:sz w:val="24"/>
                <w:szCs w:val="24"/>
                <w:u w:val="none"/>
                <w:lang w:val="en-US" w:eastAsia="zh-CN" w:bidi="ar"/>
              </w:rPr>
            </w:pPr>
            <w:r>
              <w:rPr>
                <w:rFonts w:hint="default" w:ascii="仿宋_GB2312" w:hAnsi="宋体" w:eastAsia="仿宋_GB2312" w:cs="仿宋_GB2312"/>
                <w:b w:val="0"/>
                <w:bCs w:val="0"/>
                <w:i w:val="0"/>
                <w:iCs w:val="0"/>
                <w:color w:val="auto"/>
                <w:kern w:val="0"/>
                <w:sz w:val="24"/>
                <w:szCs w:val="24"/>
                <w:u w:val="none"/>
                <w:lang w:val="en-US" w:eastAsia="zh-CN" w:bidi="ar"/>
              </w:rPr>
              <w:t>1427933.29</w:t>
            </w:r>
          </w:p>
        </w:tc>
        <w:tc>
          <w:tcPr>
            <w:tcW w:w="33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仿宋_GB2312" w:hAnsi="宋体" w:eastAsia="仿宋_GB2312" w:cs="仿宋_GB2312"/>
                <w:b w:val="0"/>
                <w:bCs w:val="0"/>
                <w:i w:val="0"/>
                <w:iCs w:val="0"/>
                <w:color w:val="auto"/>
                <w:kern w:val="0"/>
                <w:sz w:val="24"/>
                <w:szCs w:val="24"/>
                <w:u w:val="none"/>
                <w:lang w:val="en-US" w:eastAsia="zh-CN" w:bidi="ar"/>
              </w:rPr>
            </w:pPr>
            <w:r>
              <w:rPr>
                <w:rFonts w:hint="default" w:ascii="仿宋_GB2312" w:hAnsi="宋体" w:eastAsia="仿宋_GB2312" w:cs="仿宋_GB2312"/>
                <w:b w:val="0"/>
                <w:bCs w:val="0"/>
                <w:i w:val="0"/>
                <w:iCs w:val="0"/>
                <w:color w:val="auto"/>
                <w:kern w:val="0"/>
                <w:sz w:val="24"/>
                <w:szCs w:val="24"/>
                <w:u w:val="none"/>
                <w:lang w:val="en-US" w:eastAsia="zh-CN" w:bidi="ar"/>
              </w:rPr>
              <w:t>389825.79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仿宋_GB2312" w:hAnsi="宋体" w:eastAsia="仿宋_GB2312" w:cs="仿宋_GB2312"/>
                <w:b w:val="0"/>
                <w:bCs w:val="0"/>
                <w:i w:val="0"/>
                <w:iCs w:val="0"/>
                <w:color w:val="auto"/>
                <w:kern w:val="0"/>
                <w:sz w:val="24"/>
                <w:szCs w:val="24"/>
                <w:u w:val="none"/>
                <w:lang w:val="en-US" w:eastAsia="zh-CN" w:bidi="ar"/>
              </w:rPr>
            </w:pPr>
            <w:r>
              <w:rPr>
                <w:rFonts w:hint="default" w:ascii="仿宋_GB2312" w:hAnsi="宋体" w:eastAsia="仿宋_GB2312" w:cs="仿宋_GB2312"/>
                <w:b w:val="0"/>
                <w:bCs w:val="0"/>
                <w:i w:val="0"/>
                <w:iCs w:val="0"/>
                <w:color w:val="auto"/>
                <w:kern w:val="0"/>
                <w:sz w:val="24"/>
                <w:szCs w:val="24"/>
                <w:u w:val="none"/>
                <w:lang w:val="en-US" w:eastAsia="zh-CN" w:bidi="ar"/>
              </w:rPr>
              <w:t>3</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仿宋_GB2312" w:hAnsi="宋体" w:eastAsia="仿宋_GB2312" w:cs="仿宋_GB2312"/>
                <w:b w:val="0"/>
                <w:bCs w:val="0"/>
                <w:i w:val="0"/>
                <w:iCs w:val="0"/>
                <w:color w:val="auto"/>
                <w:kern w:val="0"/>
                <w:sz w:val="24"/>
                <w:szCs w:val="24"/>
                <w:u w:val="none"/>
                <w:lang w:val="en-US" w:eastAsia="zh-CN" w:bidi="ar"/>
              </w:rPr>
            </w:pPr>
            <w:r>
              <w:rPr>
                <w:rFonts w:hint="default" w:ascii="仿宋_GB2312" w:hAnsi="宋体" w:eastAsia="仿宋_GB2312" w:cs="仿宋_GB2312"/>
                <w:b w:val="0"/>
                <w:bCs w:val="0"/>
                <w:i w:val="0"/>
                <w:iCs w:val="0"/>
                <w:color w:val="auto"/>
                <w:kern w:val="0"/>
                <w:sz w:val="24"/>
                <w:szCs w:val="24"/>
                <w:u w:val="none"/>
                <w:lang w:val="en-US" w:eastAsia="zh-CN" w:bidi="ar"/>
              </w:rPr>
              <w:t>2020年</w:t>
            </w:r>
          </w:p>
        </w:tc>
        <w:tc>
          <w:tcPr>
            <w:tcW w:w="3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仿宋_GB2312" w:hAnsi="宋体" w:eastAsia="仿宋_GB2312" w:cs="仿宋_GB2312"/>
                <w:b w:val="0"/>
                <w:bCs w:val="0"/>
                <w:i w:val="0"/>
                <w:iCs w:val="0"/>
                <w:color w:val="auto"/>
                <w:kern w:val="0"/>
                <w:sz w:val="24"/>
                <w:szCs w:val="24"/>
                <w:u w:val="none"/>
                <w:lang w:val="en-US" w:eastAsia="zh-CN" w:bidi="ar"/>
              </w:rPr>
            </w:pPr>
            <w:r>
              <w:rPr>
                <w:rFonts w:hint="default" w:ascii="仿宋_GB2312" w:hAnsi="宋体" w:eastAsia="仿宋_GB2312" w:cs="仿宋_GB2312"/>
                <w:b w:val="0"/>
                <w:bCs w:val="0"/>
                <w:i w:val="0"/>
                <w:iCs w:val="0"/>
                <w:color w:val="auto"/>
                <w:kern w:val="0"/>
                <w:sz w:val="24"/>
                <w:szCs w:val="24"/>
                <w:u w:val="none"/>
                <w:lang w:val="en-US" w:eastAsia="zh-CN" w:bidi="ar"/>
              </w:rPr>
              <w:t>1074339.88</w:t>
            </w:r>
          </w:p>
        </w:tc>
        <w:tc>
          <w:tcPr>
            <w:tcW w:w="33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仿宋_GB2312" w:hAnsi="宋体" w:eastAsia="仿宋_GB2312" w:cs="仿宋_GB2312"/>
                <w:b w:val="0"/>
                <w:bCs w:val="0"/>
                <w:i w:val="0"/>
                <w:iCs w:val="0"/>
                <w:color w:val="auto"/>
                <w:kern w:val="0"/>
                <w:sz w:val="24"/>
                <w:szCs w:val="24"/>
                <w:u w:val="none"/>
                <w:lang w:val="en-US" w:eastAsia="zh-CN" w:bidi="ar"/>
              </w:rPr>
            </w:pPr>
            <w:r>
              <w:rPr>
                <w:rFonts w:hint="default" w:ascii="仿宋_GB2312" w:hAnsi="宋体" w:eastAsia="仿宋_GB2312" w:cs="仿宋_GB2312"/>
                <w:b w:val="0"/>
                <w:bCs w:val="0"/>
                <w:i w:val="0"/>
                <w:iCs w:val="0"/>
                <w:color w:val="auto"/>
                <w:kern w:val="0"/>
                <w:sz w:val="24"/>
                <w:szCs w:val="24"/>
                <w:u w:val="none"/>
                <w:lang w:val="en-US" w:eastAsia="zh-CN" w:bidi="ar"/>
              </w:rPr>
              <w:t>297919.66</w:t>
            </w:r>
          </w:p>
        </w:tc>
      </w:tr>
    </w:tbl>
    <w:p>
      <w:pPr>
        <w:rPr>
          <w:rFonts w:hint="eastAsia"/>
          <w:color w:val="auto"/>
          <w:lang w:val="en-US" w:eastAsia="zh-CN"/>
        </w:rPr>
      </w:pPr>
      <w:r>
        <w:rPr>
          <w:rFonts w:hint="eastAsia"/>
          <w:color w:val="auto"/>
          <w:lang w:val="en-US" w:eastAsia="zh-CN"/>
        </w:rPr>
        <w:t>规模以上企业共计34家，以制造业为主，涵盖了磷系新材料、氯材料、钛材料、储能产业、铝基新材料、新型建材、特色农产品八个大类，企业分布在非金属矿采选业、化学原料及化学制品制造业、金属制品业、电气机械和器材制造业、计算机、通信和其他电子设备制造业、铁路、船舶、航空、航天和其他运输设备制造业、非金属矿物制品业、农副食品加工业、食品制造业、酒、饮料及精制茶制造业、其他制造业、电力、燃气及水的生产和供应业等12个行业。行业大类及小类对应情况见下表：</w:t>
      </w:r>
    </w:p>
    <w:p>
      <w:pPr>
        <w:jc w:val="center"/>
        <w:rPr>
          <w:rFonts w:hint="eastAsia"/>
          <w:color w:val="auto"/>
          <w:lang w:val="en-US" w:eastAsia="zh-CN"/>
        </w:rPr>
      </w:pPr>
      <w:r>
        <w:rPr>
          <w:rFonts w:hint="eastAsia"/>
          <w:color w:val="auto"/>
          <w:lang w:val="en-US" w:eastAsia="zh-CN"/>
        </w:rPr>
        <w:t>表3-2 现有规上企业行业大类及小类分类对应情况表</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78"/>
        <w:gridCol w:w="1963"/>
        <w:gridCol w:w="55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序号</w:t>
            </w:r>
          </w:p>
        </w:tc>
        <w:tc>
          <w:tcPr>
            <w:tcW w:w="11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行业大类</w:t>
            </w:r>
          </w:p>
        </w:tc>
        <w:tc>
          <w:tcPr>
            <w:tcW w:w="3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行业小类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7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11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磷系新材料</w:t>
            </w:r>
          </w:p>
        </w:tc>
        <w:tc>
          <w:tcPr>
            <w:tcW w:w="3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非金属矿采选业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c>
          <w:tcPr>
            <w:tcW w:w="11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c>
          <w:tcPr>
            <w:tcW w:w="327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化学原料及化学制品制造业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w:t>
            </w:r>
          </w:p>
        </w:tc>
        <w:tc>
          <w:tcPr>
            <w:tcW w:w="11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氯碱化工</w:t>
            </w:r>
          </w:p>
        </w:tc>
        <w:tc>
          <w:tcPr>
            <w:tcW w:w="327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w:t>
            </w:r>
          </w:p>
        </w:tc>
        <w:tc>
          <w:tcPr>
            <w:tcW w:w="11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氯材料</w:t>
            </w:r>
          </w:p>
        </w:tc>
        <w:tc>
          <w:tcPr>
            <w:tcW w:w="327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w:t>
            </w:r>
          </w:p>
        </w:tc>
        <w:tc>
          <w:tcPr>
            <w:tcW w:w="11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钛材料</w:t>
            </w:r>
          </w:p>
        </w:tc>
        <w:tc>
          <w:tcPr>
            <w:tcW w:w="3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非金属制品业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w:t>
            </w:r>
          </w:p>
        </w:tc>
        <w:tc>
          <w:tcPr>
            <w:tcW w:w="11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储能产业</w:t>
            </w:r>
          </w:p>
        </w:tc>
        <w:tc>
          <w:tcPr>
            <w:tcW w:w="3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电气机械和器材制造业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7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6</w:t>
            </w:r>
          </w:p>
        </w:tc>
        <w:tc>
          <w:tcPr>
            <w:tcW w:w="11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铝基新材料</w:t>
            </w:r>
          </w:p>
        </w:tc>
        <w:tc>
          <w:tcPr>
            <w:tcW w:w="3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计算机、通信和其他电子设备制造业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c>
          <w:tcPr>
            <w:tcW w:w="11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c>
          <w:tcPr>
            <w:tcW w:w="3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有色金属冶炼及压延加工业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c>
          <w:tcPr>
            <w:tcW w:w="11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c>
          <w:tcPr>
            <w:tcW w:w="327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非金属矿物制品业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7</w:t>
            </w:r>
          </w:p>
        </w:tc>
        <w:tc>
          <w:tcPr>
            <w:tcW w:w="11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新型建材</w:t>
            </w:r>
          </w:p>
        </w:tc>
        <w:tc>
          <w:tcPr>
            <w:tcW w:w="327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7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8</w:t>
            </w:r>
          </w:p>
        </w:tc>
        <w:tc>
          <w:tcPr>
            <w:tcW w:w="11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特色农产品</w:t>
            </w:r>
          </w:p>
        </w:tc>
        <w:tc>
          <w:tcPr>
            <w:tcW w:w="3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农副食品加工业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c>
          <w:tcPr>
            <w:tcW w:w="11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c>
          <w:tcPr>
            <w:tcW w:w="3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食品制造业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c>
          <w:tcPr>
            <w:tcW w:w="11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c>
          <w:tcPr>
            <w:tcW w:w="3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酒、饮料及精制茶制造业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7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9</w:t>
            </w:r>
          </w:p>
        </w:tc>
        <w:tc>
          <w:tcPr>
            <w:tcW w:w="11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其他</w:t>
            </w:r>
          </w:p>
        </w:tc>
        <w:tc>
          <w:tcPr>
            <w:tcW w:w="3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其他制造业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c>
          <w:tcPr>
            <w:tcW w:w="11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c>
          <w:tcPr>
            <w:tcW w:w="3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电力、燃气及水的生产和供应业</w:t>
            </w:r>
          </w:p>
        </w:tc>
      </w:tr>
    </w:tbl>
    <w:p>
      <w:pPr>
        <w:jc w:val="center"/>
        <w:rPr>
          <w:rFonts w:hint="eastAsia"/>
          <w:color w:val="auto"/>
          <w:lang w:val="en-US" w:eastAsia="zh-CN"/>
        </w:rPr>
      </w:pPr>
    </w:p>
    <w:p>
      <w:pPr>
        <w:bidi w:val="0"/>
        <w:rPr>
          <w:rFonts w:hint="eastAsia"/>
          <w:color w:val="auto"/>
          <w:lang w:val="en-US" w:eastAsia="zh-CN"/>
        </w:rPr>
      </w:pPr>
      <w:r>
        <w:rPr>
          <w:rFonts w:hint="eastAsia"/>
          <w:color w:val="auto"/>
          <w:lang w:val="en-US" w:eastAsia="zh-CN"/>
        </w:rPr>
        <w:t>2020年开发区现有规上企业分行业经营情况见表3-3~4，2020年开发区规上企业分行业能源消费情况见表3-3~6。</w:t>
      </w:r>
    </w:p>
    <w:p>
      <w:pPr>
        <w:rPr>
          <w:rFonts w:hint="eastAsia"/>
          <w:color w:val="auto"/>
          <w:lang w:val="en-US" w:eastAsia="zh-CN"/>
        </w:rPr>
      </w:pPr>
    </w:p>
    <w:p>
      <w:pPr>
        <w:rPr>
          <w:rFonts w:hint="eastAsia"/>
          <w:color w:val="auto"/>
          <w:lang w:val="en-US" w:eastAsia="zh-CN"/>
        </w:rPr>
        <w:sectPr>
          <w:footerReference r:id="rId5" w:type="default"/>
          <w:pgSz w:w="11906" w:h="16838"/>
          <w:pgMar w:top="1440" w:right="1800" w:bottom="1440" w:left="1800" w:header="851" w:footer="992" w:gutter="0"/>
          <w:pgNumType w:fmt="decimal"/>
          <w:cols w:space="425" w:num="1"/>
          <w:docGrid w:type="lines" w:linePitch="312" w:charSpace="0"/>
        </w:sectPr>
      </w:pPr>
    </w:p>
    <w:p>
      <w:pPr>
        <w:jc w:val="center"/>
        <w:rPr>
          <w:rFonts w:hint="eastAsia"/>
          <w:color w:val="auto"/>
          <w:lang w:val="en-US" w:eastAsia="zh-CN"/>
        </w:rPr>
      </w:pPr>
      <w:r>
        <w:rPr>
          <w:rFonts w:hint="eastAsia"/>
          <w:color w:val="auto"/>
          <w:lang w:val="en-US" w:eastAsia="zh-CN"/>
        </w:rPr>
        <w:t>表3-3  2020年开发区现有规上企业分行业（磷系新材料）经营情况表</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57"/>
        <w:gridCol w:w="2439"/>
        <w:gridCol w:w="3646"/>
        <w:gridCol w:w="1026"/>
        <w:gridCol w:w="912"/>
        <w:gridCol w:w="1563"/>
        <w:gridCol w:w="1116"/>
        <w:gridCol w:w="1261"/>
        <w:gridCol w:w="11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行业名称</w:t>
            </w:r>
          </w:p>
        </w:tc>
        <w:tc>
          <w:tcPr>
            <w:tcW w:w="2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企业名称</w:t>
            </w:r>
          </w:p>
        </w:tc>
        <w:tc>
          <w:tcPr>
            <w:tcW w:w="3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设计产能</w:t>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2020年</w:t>
            </w:r>
          </w:p>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产值</w:t>
            </w:r>
            <w:r>
              <w:rPr>
                <w:rFonts w:hint="eastAsia" w:ascii="仿宋_GB2312" w:hAnsi="宋体" w:eastAsia="仿宋_GB2312" w:cs="仿宋_GB2312"/>
                <w:b w:val="0"/>
                <w:bCs w:val="0"/>
                <w:i w:val="0"/>
                <w:iCs w:val="0"/>
                <w:color w:val="auto"/>
                <w:kern w:val="0"/>
                <w:sz w:val="18"/>
                <w:szCs w:val="18"/>
                <w:u w:val="none"/>
                <w:lang w:val="en-US" w:eastAsia="zh-CN" w:bidi="ar"/>
              </w:rPr>
              <w:br w:type="textWrapping"/>
            </w:r>
            <w:r>
              <w:rPr>
                <w:rFonts w:hint="eastAsia" w:ascii="仿宋_GB2312" w:hAnsi="宋体" w:eastAsia="仿宋_GB2312" w:cs="仿宋_GB2312"/>
                <w:b w:val="0"/>
                <w:bCs w:val="0"/>
                <w:i w:val="0"/>
                <w:iCs w:val="0"/>
                <w:color w:val="auto"/>
                <w:kern w:val="0"/>
                <w:sz w:val="18"/>
                <w:szCs w:val="18"/>
                <w:u w:val="none"/>
                <w:lang w:val="en-US" w:eastAsia="zh-CN" w:bidi="ar"/>
              </w:rPr>
              <w:t>（万元）</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规上</w:t>
            </w:r>
            <w:r>
              <w:rPr>
                <w:rFonts w:hint="eastAsia" w:ascii="仿宋_GB2312" w:hAnsi="宋体" w:eastAsia="仿宋_GB2312" w:cs="仿宋_GB2312"/>
                <w:b w:val="0"/>
                <w:bCs w:val="0"/>
                <w:i w:val="0"/>
                <w:iCs w:val="0"/>
                <w:color w:val="auto"/>
                <w:kern w:val="0"/>
                <w:sz w:val="18"/>
                <w:szCs w:val="18"/>
                <w:u w:val="none"/>
                <w:lang w:val="en-US" w:eastAsia="zh-CN" w:bidi="ar"/>
              </w:rPr>
              <w:br w:type="textWrapping"/>
            </w:r>
            <w:r>
              <w:rPr>
                <w:rFonts w:hint="eastAsia" w:ascii="仿宋_GB2312" w:hAnsi="宋体" w:eastAsia="仿宋_GB2312" w:cs="仿宋_GB2312"/>
                <w:b w:val="0"/>
                <w:bCs w:val="0"/>
                <w:i w:val="0"/>
                <w:iCs w:val="0"/>
                <w:color w:val="auto"/>
                <w:kern w:val="0"/>
                <w:sz w:val="18"/>
                <w:szCs w:val="18"/>
                <w:u w:val="none"/>
                <w:lang w:val="en-US" w:eastAsia="zh-CN" w:bidi="ar"/>
              </w:rPr>
              <w:t>（是/否）</w:t>
            </w:r>
          </w:p>
        </w:tc>
        <w:tc>
          <w:tcPr>
            <w:tcW w:w="15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行业分类</w:t>
            </w:r>
            <w:r>
              <w:rPr>
                <w:rFonts w:hint="eastAsia" w:ascii="仿宋_GB2312" w:hAnsi="宋体" w:eastAsia="仿宋_GB2312" w:cs="仿宋_GB2312"/>
                <w:b w:val="0"/>
                <w:bCs w:val="0"/>
                <w:i w:val="0"/>
                <w:iCs w:val="0"/>
                <w:color w:val="auto"/>
                <w:kern w:val="0"/>
                <w:sz w:val="18"/>
                <w:szCs w:val="18"/>
                <w:u w:val="none"/>
                <w:lang w:val="en-US" w:eastAsia="zh-CN" w:bidi="ar"/>
              </w:rPr>
              <w:br w:type="textWrapping"/>
            </w:r>
            <w:r>
              <w:rPr>
                <w:rFonts w:hint="eastAsia" w:ascii="仿宋_GB2312" w:hAnsi="宋体" w:eastAsia="仿宋_GB2312" w:cs="仿宋_GB2312"/>
                <w:b w:val="0"/>
                <w:bCs w:val="0"/>
                <w:i w:val="0"/>
                <w:iCs w:val="0"/>
                <w:color w:val="auto"/>
                <w:kern w:val="0"/>
                <w:sz w:val="18"/>
                <w:szCs w:val="18"/>
                <w:u w:val="none"/>
                <w:lang w:val="en-US" w:eastAsia="zh-CN" w:bidi="ar"/>
              </w:rPr>
              <w:t>（按国民行业分类）</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实际能耗</w:t>
            </w:r>
          </w:p>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（等价值）</w:t>
            </w:r>
            <w:r>
              <w:rPr>
                <w:rFonts w:hint="eastAsia" w:ascii="仿宋_GB2312" w:hAnsi="宋体" w:eastAsia="仿宋_GB2312" w:cs="仿宋_GB2312"/>
                <w:b w:val="0"/>
                <w:bCs w:val="0"/>
                <w:i w:val="0"/>
                <w:iCs w:val="0"/>
                <w:color w:val="auto"/>
                <w:kern w:val="0"/>
                <w:sz w:val="18"/>
                <w:szCs w:val="18"/>
                <w:u w:val="none"/>
                <w:lang w:val="en-US" w:eastAsia="zh-CN" w:bidi="ar"/>
              </w:rPr>
              <w:br w:type="textWrapping"/>
            </w:r>
            <w:r>
              <w:rPr>
                <w:rFonts w:hint="eastAsia" w:ascii="仿宋_GB2312" w:hAnsi="宋体" w:eastAsia="仿宋_GB2312" w:cs="仿宋_GB2312"/>
                <w:b w:val="0"/>
                <w:bCs w:val="0"/>
                <w:i w:val="0"/>
                <w:iCs w:val="0"/>
                <w:color w:val="auto"/>
                <w:kern w:val="0"/>
                <w:sz w:val="18"/>
                <w:szCs w:val="18"/>
                <w:u w:val="none"/>
                <w:lang w:val="en-US" w:eastAsia="zh-CN" w:bidi="ar"/>
              </w:rPr>
              <w:t>（吨标煤）</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2020年增加值</w:t>
            </w:r>
          </w:p>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（万元）</w:t>
            </w: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5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磷系新</w:t>
            </w:r>
          </w:p>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材料</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贵州开阳双阳磷矿有限公司</w:t>
            </w:r>
          </w:p>
        </w:tc>
        <w:tc>
          <w:tcPr>
            <w:tcW w:w="3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50万吨/年磷矿石</w:t>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11101.3</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是</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矿山</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2892.99 </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5214.28 </w:t>
            </w: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9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开阳县双流镇丰源磷矿有限公司</w:t>
            </w:r>
          </w:p>
        </w:tc>
        <w:tc>
          <w:tcPr>
            <w:tcW w:w="3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20万吨/年磷矿石</w:t>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3414.5</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是</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矿山</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1536.73 </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1603.79 </w:t>
            </w: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贵州开阳白马磷肥有限公司</w:t>
            </w:r>
          </w:p>
        </w:tc>
        <w:tc>
          <w:tcPr>
            <w:tcW w:w="3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25万吨/年磷矿石</w:t>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12828</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是</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矿山</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1593.07 </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6025.31 </w:t>
            </w: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贵州政立矿业有限公司</w:t>
            </w:r>
          </w:p>
        </w:tc>
        <w:tc>
          <w:tcPr>
            <w:tcW w:w="3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30万吨/年磷矿石</w:t>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10667.5</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是</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矿山</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3074.06 </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5010.51 </w:t>
            </w: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贵州路发实业有限公司</w:t>
            </w:r>
          </w:p>
        </w:tc>
        <w:tc>
          <w:tcPr>
            <w:tcW w:w="3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80万吨/年磷矿石</w:t>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43993.9</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是</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采矿业</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26166.27 </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20663.93 </w:t>
            </w: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开阳广隆矿业有限公司</w:t>
            </w:r>
          </w:p>
        </w:tc>
        <w:tc>
          <w:tcPr>
            <w:tcW w:w="3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年产磷矿石30万吨</w:t>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15104.1</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是</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采矿业</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1279.12 </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7094.40 </w:t>
            </w: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开阳县鑫联矿业有限公司</w:t>
            </w:r>
          </w:p>
        </w:tc>
        <w:tc>
          <w:tcPr>
            <w:tcW w:w="3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10万吨/年磷矿石</w:t>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2011.8</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是</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采矿业</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499.10 </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210.43 </w:t>
            </w: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露天矿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贵州高山矿业有限公司</w:t>
            </w:r>
          </w:p>
        </w:tc>
        <w:tc>
          <w:tcPr>
            <w:tcW w:w="3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磷矿石</w:t>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3200</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是</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采矿业</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5332.37 </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300.00 </w:t>
            </w: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贵州开阳化工有限公司</w:t>
            </w:r>
          </w:p>
        </w:tc>
        <w:tc>
          <w:tcPr>
            <w:tcW w:w="3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50万吨合成氨</w:t>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108231.8</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是</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化工</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804233.92 </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18507.63 </w:t>
            </w: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贵州新天鑫化工有限公司</w:t>
            </w:r>
          </w:p>
        </w:tc>
        <w:tc>
          <w:tcPr>
            <w:tcW w:w="3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42000吨/年黄磷</w:t>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87363.34</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是</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化工</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31017.66 </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26252.68 </w:t>
            </w: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贵州开阳川东化工有限公司</w:t>
            </w:r>
          </w:p>
        </w:tc>
        <w:tc>
          <w:tcPr>
            <w:tcW w:w="3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黄磷1万吨/年；甲酸钾（钠）3万吨/年等</w:t>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28346</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是</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化工</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67844.93 </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8888.53 </w:t>
            </w: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贵州胜威凯洋化工有限公司 </w:t>
            </w:r>
          </w:p>
        </w:tc>
        <w:tc>
          <w:tcPr>
            <w:tcW w:w="3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25万吨磷酸一铵装置、20万吨硫铁矿制酸装置</w:t>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0</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是</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化工</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2020年停产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9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贵州开阳青利天盟化工有限公司</w:t>
            </w:r>
          </w:p>
        </w:tc>
        <w:tc>
          <w:tcPr>
            <w:tcW w:w="3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1.7万吨/年黄磷生产装置、2万吨/年甲酸钠生产装置等</w:t>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31586.8</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是</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化工</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94311.42 </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9491.83 </w:t>
            </w: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9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贵州开磷集团矿肥有限责任公司</w:t>
            </w:r>
          </w:p>
        </w:tc>
        <w:tc>
          <w:tcPr>
            <w:tcW w:w="3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磷酸一铵310万吨、磷酸二胺270万吨</w:t>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526134.7</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是</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化工</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158001.28 </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138967.54 </w:t>
            </w: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合计</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p>
        </w:tc>
        <w:tc>
          <w:tcPr>
            <w:tcW w:w="3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883983.74</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1197782.92</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248230.86</w:t>
            </w: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p>
        </w:tc>
      </w:tr>
    </w:tbl>
    <w:p>
      <w:pPr>
        <w:ind w:left="0" w:leftChars="0" w:firstLine="0" w:firstLineChars="0"/>
        <w:rPr>
          <w:rFonts w:hint="eastAsia"/>
          <w:color w:val="auto"/>
          <w:lang w:val="en-US" w:eastAsia="zh-CN"/>
        </w:rPr>
      </w:pPr>
    </w:p>
    <w:p>
      <w:pPr>
        <w:ind w:left="0" w:leftChars="0" w:firstLine="0" w:firstLineChars="0"/>
        <w:jc w:val="center"/>
        <w:rPr>
          <w:rFonts w:hint="eastAsia"/>
          <w:color w:val="auto"/>
          <w:lang w:val="en-US" w:eastAsia="zh-CN"/>
        </w:rPr>
      </w:pPr>
      <w:r>
        <w:rPr>
          <w:rFonts w:hint="eastAsia"/>
          <w:color w:val="auto"/>
          <w:lang w:val="en-US" w:eastAsia="zh-CN"/>
        </w:rPr>
        <w:t>表3-4  2020年开发区现有规上企业分行业（氯碱化工）经营情况表</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7"/>
        <w:gridCol w:w="3111"/>
        <w:gridCol w:w="1767"/>
        <w:gridCol w:w="1236"/>
        <w:gridCol w:w="1095"/>
        <w:gridCol w:w="1960"/>
        <w:gridCol w:w="1960"/>
        <w:gridCol w:w="1429"/>
        <w:gridCol w:w="6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行业名称</w:t>
            </w:r>
          </w:p>
        </w:tc>
        <w:tc>
          <w:tcPr>
            <w:tcW w:w="1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企业名称</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设计产能</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2020年产值</w:t>
            </w:r>
            <w:r>
              <w:rPr>
                <w:rFonts w:hint="eastAsia" w:ascii="仿宋_GB2312" w:hAnsi="宋体" w:eastAsia="仿宋_GB2312" w:cs="仿宋_GB2312"/>
                <w:b w:val="0"/>
                <w:bCs w:val="0"/>
                <w:i w:val="0"/>
                <w:iCs w:val="0"/>
                <w:color w:val="auto"/>
                <w:kern w:val="0"/>
                <w:sz w:val="18"/>
                <w:szCs w:val="18"/>
                <w:u w:val="none"/>
                <w:lang w:val="en-US" w:eastAsia="zh-CN" w:bidi="ar"/>
              </w:rPr>
              <w:br w:type="textWrapping"/>
            </w:r>
            <w:r>
              <w:rPr>
                <w:rFonts w:hint="eastAsia" w:ascii="仿宋_GB2312" w:hAnsi="宋体" w:eastAsia="仿宋_GB2312" w:cs="仿宋_GB2312"/>
                <w:b w:val="0"/>
                <w:bCs w:val="0"/>
                <w:i w:val="0"/>
                <w:iCs w:val="0"/>
                <w:color w:val="auto"/>
                <w:kern w:val="0"/>
                <w:sz w:val="18"/>
                <w:szCs w:val="18"/>
                <w:u w:val="none"/>
                <w:lang w:val="en-US" w:eastAsia="zh-CN" w:bidi="ar"/>
              </w:rPr>
              <w:t>（万元）</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规上</w:t>
            </w:r>
            <w:r>
              <w:rPr>
                <w:rFonts w:hint="eastAsia" w:ascii="仿宋_GB2312" w:hAnsi="宋体" w:eastAsia="仿宋_GB2312" w:cs="仿宋_GB2312"/>
                <w:b w:val="0"/>
                <w:bCs w:val="0"/>
                <w:i w:val="0"/>
                <w:iCs w:val="0"/>
                <w:color w:val="auto"/>
                <w:kern w:val="0"/>
                <w:sz w:val="18"/>
                <w:szCs w:val="18"/>
                <w:u w:val="none"/>
                <w:lang w:val="en-US" w:eastAsia="zh-CN" w:bidi="ar"/>
              </w:rPr>
              <w:br w:type="textWrapping"/>
            </w:r>
            <w:r>
              <w:rPr>
                <w:rFonts w:hint="eastAsia" w:ascii="仿宋_GB2312" w:hAnsi="宋体" w:eastAsia="仿宋_GB2312" w:cs="仿宋_GB2312"/>
                <w:b w:val="0"/>
                <w:bCs w:val="0"/>
                <w:i w:val="0"/>
                <w:iCs w:val="0"/>
                <w:color w:val="auto"/>
                <w:kern w:val="0"/>
                <w:sz w:val="18"/>
                <w:szCs w:val="18"/>
                <w:u w:val="none"/>
                <w:lang w:val="en-US" w:eastAsia="zh-CN" w:bidi="ar"/>
              </w:rPr>
              <w:t>（是/否）</w:t>
            </w: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行业分类</w:t>
            </w:r>
            <w:r>
              <w:rPr>
                <w:rFonts w:hint="eastAsia" w:ascii="仿宋_GB2312" w:hAnsi="宋体" w:eastAsia="仿宋_GB2312" w:cs="仿宋_GB2312"/>
                <w:b w:val="0"/>
                <w:bCs w:val="0"/>
                <w:i w:val="0"/>
                <w:iCs w:val="0"/>
                <w:color w:val="auto"/>
                <w:kern w:val="0"/>
                <w:sz w:val="18"/>
                <w:szCs w:val="18"/>
                <w:u w:val="none"/>
                <w:lang w:val="en-US" w:eastAsia="zh-CN" w:bidi="ar"/>
              </w:rPr>
              <w:br w:type="textWrapping"/>
            </w:r>
            <w:r>
              <w:rPr>
                <w:rFonts w:hint="eastAsia" w:ascii="仿宋_GB2312" w:hAnsi="宋体" w:eastAsia="仿宋_GB2312" w:cs="仿宋_GB2312"/>
                <w:b w:val="0"/>
                <w:bCs w:val="0"/>
                <w:i w:val="0"/>
                <w:iCs w:val="0"/>
                <w:color w:val="auto"/>
                <w:kern w:val="0"/>
                <w:sz w:val="18"/>
                <w:szCs w:val="18"/>
                <w:u w:val="none"/>
                <w:lang w:val="en-US" w:eastAsia="zh-CN" w:bidi="ar"/>
              </w:rPr>
              <w:t>（按国民行业分类）</w:t>
            </w: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实际能耗（等价值）</w:t>
            </w:r>
            <w:r>
              <w:rPr>
                <w:rFonts w:hint="eastAsia" w:ascii="仿宋_GB2312" w:hAnsi="宋体" w:eastAsia="仿宋_GB2312" w:cs="仿宋_GB2312"/>
                <w:b w:val="0"/>
                <w:bCs w:val="0"/>
                <w:i w:val="0"/>
                <w:iCs w:val="0"/>
                <w:color w:val="auto"/>
                <w:kern w:val="0"/>
                <w:sz w:val="18"/>
                <w:szCs w:val="18"/>
                <w:u w:val="none"/>
                <w:lang w:val="en-US" w:eastAsia="zh-CN" w:bidi="ar"/>
              </w:rPr>
              <w:br w:type="textWrapping"/>
            </w:r>
            <w:r>
              <w:rPr>
                <w:rFonts w:hint="eastAsia" w:ascii="仿宋_GB2312" w:hAnsi="宋体" w:eastAsia="仿宋_GB2312" w:cs="仿宋_GB2312"/>
                <w:b w:val="0"/>
                <w:bCs w:val="0"/>
                <w:i w:val="0"/>
                <w:iCs w:val="0"/>
                <w:color w:val="auto"/>
                <w:kern w:val="0"/>
                <w:sz w:val="18"/>
                <w:szCs w:val="18"/>
                <w:u w:val="none"/>
                <w:lang w:val="en-US" w:eastAsia="zh-CN" w:bidi="ar"/>
              </w:rPr>
              <w:t>（吨标煤）</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2020年增加值</w:t>
            </w:r>
          </w:p>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（万元）</w:t>
            </w:r>
          </w:p>
        </w:tc>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氯碱化工</w:t>
            </w: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贵州瓮福开磷氟硅新材料有限公司</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无水氟化氢3万吨</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10991</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是</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化工</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2555.11 </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3302.80 </w:t>
            </w:r>
          </w:p>
        </w:tc>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合计</w:t>
            </w:r>
          </w:p>
        </w:tc>
        <w:tc>
          <w:tcPr>
            <w:tcW w:w="1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10991</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2555.11</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3302.8</w:t>
            </w:r>
          </w:p>
        </w:tc>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r>
    </w:tbl>
    <w:p>
      <w:pPr>
        <w:ind w:left="0" w:leftChars="0" w:firstLine="0" w:firstLineChars="0"/>
        <w:jc w:val="center"/>
        <w:rPr>
          <w:rFonts w:hint="eastAsia"/>
          <w:color w:val="auto"/>
          <w:lang w:val="en-US" w:eastAsia="zh-CN"/>
        </w:rPr>
      </w:pPr>
      <w:r>
        <w:rPr>
          <w:rFonts w:hint="eastAsia"/>
          <w:color w:val="auto"/>
          <w:lang w:val="en-US" w:eastAsia="zh-CN"/>
        </w:rPr>
        <w:t>表3-5  2020年开发区现有规上企业分行业（储能产业）经营情况表</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6"/>
        <w:gridCol w:w="2659"/>
        <w:gridCol w:w="3075"/>
        <w:gridCol w:w="924"/>
        <w:gridCol w:w="1007"/>
        <w:gridCol w:w="1782"/>
        <w:gridCol w:w="1798"/>
        <w:gridCol w:w="1324"/>
        <w:gridCol w:w="5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行业名称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企业名称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设计产能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2020年</w:t>
            </w:r>
          </w:p>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产值</w:t>
            </w:r>
          </w:p>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规上</w:t>
            </w:r>
            <w:r>
              <w:rPr>
                <w:rFonts w:hint="eastAsia" w:ascii="仿宋_GB2312" w:hAnsi="宋体" w:eastAsia="仿宋_GB2312" w:cs="仿宋_GB2312"/>
                <w:b w:val="0"/>
                <w:bCs w:val="0"/>
                <w:i w:val="0"/>
                <w:iCs w:val="0"/>
                <w:color w:val="auto"/>
                <w:kern w:val="0"/>
                <w:sz w:val="18"/>
                <w:szCs w:val="18"/>
                <w:u w:val="none"/>
                <w:lang w:val="en-US" w:eastAsia="zh-CN" w:bidi="ar"/>
              </w:rPr>
              <w:br w:type="textWrapping"/>
            </w:r>
            <w:r>
              <w:rPr>
                <w:rFonts w:hint="eastAsia" w:ascii="仿宋_GB2312" w:hAnsi="宋体" w:eastAsia="仿宋_GB2312" w:cs="仿宋_GB2312"/>
                <w:b w:val="0"/>
                <w:bCs w:val="0"/>
                <w:i w:val="0"/>
                <w:iCs w:val="0"/>
                <w:color w:val="auto"/>
                <w:kern w:val="0"/>
                <w:sz w:val="18"/>
                <w:szCs w:val="18"/>
                <w:u w:val="none"/>
                <w:lang w:val="en-US" w:eastAsia="zh-CN" w:bidi="ar"/>
              </w:rPr>
              <w:t>（是/否）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行业分类</w:t>
            </w:r>
            <w:r>
              <w:rPr>
                <w:rFonts w:hint="eastAsia" w:ascii="仿宋_GB2312" w:hAnsi="宋体" w:eastAsia="仿宋_GB2312" w:cs="仿宋_GB2312"/>
                <w:b w:val="0"/>
                <w:bCs w:val="0"/>
                <w:i w:val="0"/>
                <w:iCs w:val="0"/>
                <w:color w:val="auto"/>
                <w:kern w:val="0"/>
                <w:sz w:val="18"/>
                <w:szCs w:val="18"/>
                <w:u w:val="none"/>
                <w:lang w:val="en-US" w:eastAsia="zh-CN" w:bidi="ar"/>
              </w:rPr>
              <w:br w:type="textWrapping"/>
            </w:r>
            <w:r>
              <w:rPr>
                <w:rFonts w:hint="eastAsia" w:ascii="仿宋_GB2312" w:hAnsi="宋体" w:eastAsia="仿宋_GB2312" w:cs="仿宋_GB2312"/>
                <w:b w:val="0"/>
                <w:bCs w:val="0"/>
                <w:i w:val="0"/>
                <w:iCs w:val="0"/>
                <w:color w:val="auto"/>
                <w:kern w:val="0"/>
                <w:sz w:val="18"/>
                <w:szCs w:val="18"/>
                <w:u w:val="none"/>
                <w:lang w:val="en-US" w:eastAsia="zh-CN" w:bidi="ar"/>
              </w:rPr>
              <w:t>（按国民行业分类）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实际能耗（等价值）</w:t>
            </w:r>
            <w:r>
              <w:rPr>
                <w:rFonts w:hint="eastAsia" w:ascii="仿宋_GB2312" w:hAnsi="宋体" w:eastAsia="仿宋_GB2312" w:cs="仿宋_GB2312"/>
                <w:b w:val="0"/>
                <w:bCs w:val="0"/>
                <w:i w:val="0"/>
                <w:iCs w:val="0"/>
                <w:color w:val="auto"/>
                <w:kern w:val="0"/>
                <w:sz w:val="18"/>
                <w:szCs w:val="18"/>
                <w:u w:val="none"/>
                <w:lang w:val="en-US" w:eastAsia="zh-CN" w:bidi="ar"/>
              </w:rPr>
              <w:br w:type="textWrapping"/>
            </w:r>
            <w:r>
              <w:rPr>
                <w:rFonts w:hint="eastAsia" w:ascii="仿宋_GB2312" w:hAnsi="宋体" w:eastAsia="仿宋_GB2312" w:cs="仿宋_GB2312"/>
                <w:b w:val="0"/>
                <w:bCs w:val="0"/>
                <w:i w:val="0"/>
                <w:iCs w:val="0"/>
                <w:color w:val="auto"/>
                <w:kern w:val="0"/>
                <w:sz w:val="18"/>
                <w:szCs w:val="18"/>
                <w:u w:val="none"/>
                <w:lang w:val="en-US" w:eastAsia="zh-CN" w:bidi="ar"/>
              </w:rPr>
              <w:t>（吨标煤）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2020年增加值</w:t>
            </w:r>
          </w:p>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储能产业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贵州安达科技能源股份有限公司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4万吨/年磷酸铁锂、6万吨/年磷酸铁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66850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化工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23003.29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20088.41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66850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23003.29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20088.41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r>
    </w:tbl>
    <w:p>
      <w:pPr>
        <w:ind w:left="0" w:leftChars="0" w:firstLine="0" w:firstLineChars="0"/>
        <w:jc w:val="center"/>
        <w:rPr>
          <w:rFonts w:hint="eastAsia"/>
          <w:color w:val="auto"/>
          <w:lang w:val="en-US" w:eastAsia="zh-CN"/>
        </w:rPr>
      </w:pPr>
      <w:r>
        <w:rPr>
          <w:rFonts w:hint="eastAsia"/>
          <w:color w:val="auto"/>
          <w:lang w:val="en-US" w:eastAsia="zh-CN"/>
        </w:rPr>
        <w:t>表3-6  2020年开发区现有规上企业分行业（铝基新材料）经营情况表</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16"/>
        <w:gridCol w:w="2313"/>
        <w:gridCol w:w="3023"/>
        <w:gridCol w:w="1147"/>
        <w:gridCol w:w="1007"/>
        <w:gridCol w:w="1782"/>
        <w:gridCol w:w="1797"/>
        <w:gridCol w:w="1320"/>
        <w:gridCol w:w="5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行业名称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企业名称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设计产能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2020年产值</w:t>
            </w:r>
            <w:r>
              <w:rPr>
                <w:rFonts w:hint="eastAsia" w:ascii="仿宋_GB2312" w:hAnsi="宋体" w:eastAsia="仿宋_GB2312" w:cs="仿宋_GB2312"/>
                <w:b w:val="0"/>
                <w:bCs w:val="0"/>
                <w:i w:val="0"/>
                <w:iCs w:val="0"/>
                <w:color w:val="auto"/>
                <w:kern w:val="0"/>
                <w:sz w:val="18"/>
                <w:szCs w:val="18"/>
                <w:u w:val="none"/>
                <w:lang w:val="en-US" w:eastAsia="zh-CN" w:bidi="ar"/>
              </w:rPr>
              <w:br w:type="textWrapping"/>
            </w:r>
            <w:r>
              <w:rPr>
                <w:rFonts w:hint="eastAsia" w:ascii="仿宋_GB2312" w:hAnsi="宋体" w:eastAsia="仿宋_GB2312" w:cs="仿宋_GB2312"/>
                <w:b w:val="0"/>
                <w:bCs w:val="0"/>
                <w:i w:val="0"/>
                <w:iCs w:val="0"/>
                <w:color w:val="auto"/>
                <w:kern w:val="0"/>
                <w:sz w:val="18"/>
                <w:szCs w:val="18"/>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规上</w:t>
            </w:r>
            <w:r>
              <w:rPr>
                <w:rFonts w:hint="eastAsia" w:ascii="仿宋_GB2312" w:hAnsi="宋体" w:eastAsia="仿宋_GB2312" w:cs="仿宋_GB2312"/>
                <w:b w:val="0"/>
                <w:bCs w:val="0"/>
                <w:i w:val="0"/>
                <w:iCs w:val="0"/>
                <w:color w:val="auto"/>
                <w:kern w:val="0"/>
                <w:sz w:val="18"/>
                <w:szCs w:val="18"/>
                <w:u w:val="none"/>
                <w:lang w:val="en-US" w:eastAsia="zh-CN" w:bidi="ar"/>
              </w:rPr>
              <w:br w:type="textWrapping"/>
            </w:r>
            <w:r>
              <w:rPr>
                <w:rFonts w:hint="eastAsia" w:ascii="仿宋_GB2312" w:hAnsi="宋体" w:eastAsia="仿宋_GB2312" w:cs="仿宋_GB2312"/>
                <w:b w:val="0"/>
                <w:bCs w:val="0"/>
                <w:i w:val="0"/>
                <w:iCs w:val="0"/>
                <w:color w:val="auto"/>
                <w:kern w:val="0"/>
                <w:sz w:val="18"/>
                <w:szCs w:val="18"/>
                <w:u w:val="none"/>
                <w:lang w:val="en-US" w:eastAsia="zh-CN" w:bidi="ar"/>
              </w:rPr>
              <w:t>（是/否）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行业分类</w:t>
            </w:r>
            <w:r>
              <w:rPr>
                <w:rFonts w:hint="eastAsia" w:ascii="仿宋_GB2312" w:hAnsi="宋体" w:eastAsia="仿宋_GB2312" w:cs="仿宋_GB2312"/>
                <w:b w:val="0"/>
                <w:bCs w:val="0"/>
                <w:i w:val="0"/>
                <w:iCs w:val="0"/>
                <w:color w:val="auto"/>
                <w:kern w:val="0"/>
                <w:sz w:val="18"/>
                <w:szCs w:val="18"/>
                <w:u w:val="none"/>
                <w:lang w:val="en-US" w:eastAsia="zh-CN" w:bidi="ar"/>
              </w:rPr>
              <w:br w:type="textWrapping"/>
            </w:r>
            <w:r>
              <w:rPr>
                <w:rFonts w:hint="eastAsia" w:ascii="仿宋_GB2312" w:hAnsi="宋体" w:eastAsia="仿宋_GB2312" w:cs="仿宋_GB2312"/>
                <w:b w:val="0"/>
                <w:bCs w:val="0"/>
                <w:i w:val="0"/>
                <w:iCs w:val="0"/>
                <w:color w:val="auto"/>
                <w:kern w:val="0"/>
                <w:sz w:val="18"/>
                <w:szCs w:val="18"/>
                <w:u w:val="none"/>
                <w:lang w:val="en-US" w:eastAsia="zh-CN" w:bidi="ar"/>
              </w:rPr>
              <w:t>（按国民行业分类）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实际能耗（等价值）</w:t>
            </w:r>
            <w:r>
              <w:rPr>
                <w:rFonts w:hint="eastAsia" w:ascii="仿宋_GB2312" w:hAnsi="宋体" w:eastAsia="仿宋_GB2312" w:cs="仿宋_GB2312"/>
                <w:b w:val="0"/>
                <w:bCs w:val="0"/>
                <w:i w:val="0"/>
                <w:iCs w:val="0"/>
                <w:color w:val="auto"/>
                <w:kern w:val="0"/>
                <w:sz w:val="18"/>
                <w:szCs w:val="18"/>
                <w:u w:val="none"/>
                <w:lang w:val="en-US" w:eastAsia="zh-CN" w:bidi="ar"/>
              </w:rPr>
              <w:br w:type="textWrapping"/>
            </w:r>
            <w:r>
              <w:rPr>
                <w:rFonts w:hint="eastAsia" w:ascii="仿宋_GB2312" w:hAnsi="宋体" w:eastAsia="仿宋_GB2312" w:cs="仿宋_GB2312"/>
                <w:b w:val="0"/>
                <w:bCs w:val="0"/>
                <w:i w:val="0"/>
                <w:iCs w:val="0"/>
                <w:color w:val="auto"/>
                <w:kern w:val="0"/>
                <w:sz w:val="18"/>
                <w:szCs w:val="18"/>
                <w:u w:val="none"/>
                <w:lang w:val="en-US" w:eastAsia="zh-CN" w:bidi="ar"/>
              </w:rPr>
              <w:t>（吨标煤）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2020年增加值</w:t>
            </w:r>
          </w:p>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铝基新材料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贵州开阳三环磨料有限公司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10万吨/年棕刚玉及1万吨/年蓝刚玉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17771.7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化工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43734.63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2841.69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17771.7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43734.63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2841.69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r>
    </w:tbl>
    <w:p>
      <w:pPr>
        <w:ind w:left="0" w:leftChars="0" w:firstLine="0" w:firstLineChars="0"/>
        <w:jc w:val="center"/>
        <w:rPr>
          <w:rFonts w:hint="eastAsia"/>
          <w:color w:val="auto"/>
          <w:lang w:val="en-US" w:eastAsia="zh-CN"/>
        </w:rPr>
      </w:pPr>
    </w:p>
    <w:p>
      <w:pPr>
        <w:ind w:left="0" w:leftChars="0" w:firstLine="0" w:firstLineChars="0"/>
        <w:jc w:val="center"/>
        <w:rPr>
          <w:rFonts w:hint="eastAsia"/>
          <w:color w:val="auto"/>
          <w:lang w:val="en-US" w:eastAsia="zh-CN"/>
        </w:rPr>
      </w:pPr>
    </w:p>
    <w:p>
      <w:pPr>
        <w:ind w:left="0" w:leftChars="0" w:firstLine="0" w:firstLineChars="0"/>
        <w:jc w:val="center"/>
        <w:rPr>
          <w:rFonts w:hint="eastAsia"/>
          <w:color w:val="auto"/>
          <w:lang w:val="en-US" w:eastAsia="zh-CN"/>
        </w:rPr>
      </w:pPr>
      <w:r>
        <w:rPr>
          <w:rFonts w:hint="eastAsia"/>
          <w:color w:val="auto"/>
          <w:lang w:val="en-US" w:eastAsia="zh-CN"/>
        </w:rPr>
        <w:t>表3-7  2020年开发区现有规上企业分行业（新型建材）经营情况表</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6"/>
        <w:gridCol w:w="2614"/>
        <w:gridCol w:w="3398"/>
        <w:gridCol w:w="922"/>
        <w:gridCol w:w="957"/>
        <w:gridCol w:w="1699"/>
        <w:gridCol w:w="1699"/>
        <w:gridCol w:w="1279"/>
        <w:gridCol w:w="5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行业名称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企业名称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设计产能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2020年</w:t>
            </w:r>
          </w:p>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产值</w:t>
            </w:r>
            <w:r>
              <w:rPr>
                <w:rFonts w:hint="eastAsia" w:ascii="仿宋_GB2312" w:hAnsi="宋体" w:eastAsia="仿宋_GB2312" w:cs="仿宋_GB2312"/>
                <w:b w:val="0"/>
                <w:bCs w:val="0"/>
                <w:i w:val="0"/>
                <w:iCs w:val="0"/>
                <w:color w:val="auto"/>
                <w:kern w:val="0"/>
                <w:sz w:val="18"/>
                <w:szCs w:val="18"/>
                <w:u w:val="none"/>
                <w:lang w:val="en-US" w:eastAsia="zh-CN" w:bidi="ar"/>
              </w:rPr>
              <w:br w:type="textWrapping"/>
            </w:r>
            <w:r>
              <w:rPr>
                <w:rFonts w:hint="eastAsia" w:ascii="仿宋_GB2312" w:hAnsi="宋体" w:eastAsia="仿宋_GB2312" w:cs="仿宋_GB2312"/>
                <w:b w:val="0"/>
                <w:bCs w:val="0"/>
                <w:i w:val="0"/>
                <w:iCs w:val="0"/>
                <w:color w:val="auto"/>
                <w:kern w:val="0"/>
                <w:sz w:val="18"/>
                <w:szCs w:val="18"/>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规上</w:t>
            </w:r>
            <w:r>
              <w:rPr>
                <w:rFonts w:hint="eastAsia" w:ascii="仿宋_GB2312" w:hAnsi="宋体" w:eastAsia="仿宋_GB2312" w:cs="仿宋_GB2312"/>
                <w:b w:val="0"/>
                <w:bCs w:val="0"/>
                <w:i w:val="0"/>
                <w:iCs w:val="0"/>
                <w:color w:val="auto"/>
                <w:kern w:val="0"/>
                <w:sz w:val="18"/>
                <w:szCs w:val="18"/>
                <w:u w:val="none"/>
                <w:lang w:val="en-US" w:eastAsia="zh-CN" w:bidi="ar"/>
              </w:rPr>
              <w:br w:type="textWrapping"/>
            </w:r>
            <w:r>
              <w:rPr>
                <w:rFonts w:hint="eastAsia" w:ascii="仿宋_GB2312" w:hAnsi="宋体" w:eastAsia="仿宋_GB2312" w:cs="仿宋_GB2312"/>
                <w:b w:val="0"/>
                <w:bCs w:val="0"/>
                <w:i w:val="0"/>
                <w:iCs w:val="0"/>
                <w:color w:val="auto"/>
                <w:kern w:val="0"/>
                <w:sz w:val="18"/>
                <w:szCs w:val="18"/>
                <w:u w:val="none"/>
                <w:lang w:val="en-US" w:eastAsia="zh-CN" w:bidi="ar"/>
              </w:rPr>
              <w:t>（是/否）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行业分类</w:t>
            </w:r>
            <w:r>
              <w:rPr>
                <w:rFonts w:hint="eastAsia" w:ascii="仿宋_GB2312" w:hAnsi="宋体" w:eastAsia="仿宋_GB2312" w:cs="仿宋_GB2312"/>
                <w:b w:val="0"/>
                <w:bCs w:val="0"/>
                <w:i w:val="0"/>
                <w:iCs w:val="0"/>
                <w:color w:val="auto"/>
                <w:kern w:val="0"/>
                <w:sz w:val="18"/>
                <w:szCs w:val="18"/>
                <w:u w:val="none"/>
                <w:lang w:val="en-US" w:eastAsia="zh-CN" w:bidi="ar"/>
              </w:rPr>
              <w:br w:type="textWrapping"/>
            </w:r>
            <w:r>
              <w:rPr>
                <w:rFonts w:hint="eastAsia" w:ascii="仿宋_GB2312" w:hAnsi="宋体" w:eastAsia="仿宋_GB2312" w:cs="仿宋_GB2312"/>
                <w:b w:val="0"/>
                <w:bCs w:val="0"/>
                <w:i w:val="0"/>
                <w:iCs w:val="0"/>
                <w:color w:val="auto"/>
                <w:kern w:val="0"/>
                <w:sz w:val="18"/>
                <w:szCs w:val="18"/>
                <w:u w:val="none"/>
                <w:lang w:val="en-US" w:eastAsia="zh-CN" w:bidi="ar"/>
              </w:rPr>
              <w:t>（按国民行业分类）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实际能耗（等价值）</w:t>
            </w:r>
            <w:r>
              <w:rPr>
                <w:rFonts w:hint="eastAsia" w:ascii="仿宋_GB2312" w:hAnsi="宋体" w:eastAsia="仿宋_GB2312" w:cs="仿宋_GB2312"/>
                <w:b w:val="0"/>
                <w:bCs w:val="0"/>
                <w:i w:val="0"/>
                <w:iCs w:val="0"/>
                <w:color w:val="auto"/>
                <w:kern w:val="0"/>
                <w:sz w:val="18"/>
                <w:szCs w:val="18"/>
                <w:u w:val="none"/>
                <w:lang w:val="en-US" w:eastAsia="zh-CN" w:bidi="ar"/>
              </w:rPr>
              <w:br w:type="textWrapping"/>
            </w:r>
            <w:r>
              <w:rPr>
                <w:rFonts w:hint="eastAsia" w:ascii="仿宋_GB2312" w:hAnsi="宋体" w:eastAsia="仿宋_GB2312" w:cs="仿宋_GB2312"/>
                <w:b w:val="0"/>
                <w:bCs w:val="0"/>
                <w:i w:val="0"/>
                <w:iCs w:val="0"/>
                <w:color w:val="auto"/>
                <w:kern w:val="0"/>
                <w:sz w:val="18"/>
                <w:szCs w:val="18"/>
                <w:u w:val="none"/>
                <w:lang w:val="en-US" w:eastAsia="zh-CN" w:bidi="ar"/>
              </w:rPr>
              <w:t>（吨标煤）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2020年增加值</w:t>
            </w:r>
          </w:p>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新型建材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贵州开阳宏艺精工实业有限公司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15万吨/年陶瓷材料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1124.1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化工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3165.81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106.60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贵州菲尔特建材有限公司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膨胀珍珠岩20万立方米、无机保温砂浆1万吨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2924.4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制造业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2118.05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628.44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贵州开阳通筑混凝土有限公司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建筑材料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1555.8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建筑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231.67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38.94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贵州开阳惜缘商品混凝土有限公司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50万立方建筑材料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2267.7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建材加工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246.97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385.96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开阳智科建材有限公司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混凝土20万立方/年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2953.4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制造业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81.20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502.67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开阳博大商砼建材有限公司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混凝土40万立方/年及干混砂浆40万吨/年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5955.2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制造业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193.00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1013.57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贵州韶峰电力器材制品有限公司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6万根水泥电杆及3万块水泥拉盘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2449.1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制造业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52.60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416.84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贵州开阳紫江水泥有限公司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年产水泥120万吨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21885.7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制造业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79004.23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7312.01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41115.4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85093.53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10405.03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r>
    </w:tbl>
    <w:p>
      <w:pPr>
        <w:ind w:left="0" w:leftChars="0" w:firstLine="0" w:firstLineChars="0"/>
        <w:jc w:val="center"/>
        <w:rPr>
          <w:rFonts w:hint="eastAsia"/>
          <w:color w:val="auto"/>
          <w:lang w:val="en-US" w:eastAsia="zh-CN"/>
        </w:rPr>
      </w:pPr>
      <w:r>
        <w:rPr>
          <w:rFonts w:hint="eastAsia"/>
          <w:color w:val="auto"/>
          <w:lang w:val="en-US" w:eastAsia="zh-CN"/>
        </w:rPr>
        <w:t>表3-8  2020年开发区现有规上企业分行业（特色农产品）经营情况表</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16"/>
        <w:gridCol w:w="2553"/>
        <w:gridCol w:w="2972"/>
        <w:gridCol w:w="1120"/>
        <w:gridCol w:w="981"/>
        <w:gridCol w:w="1745"/>
        <w:gridCol w:w="1727"/>
        <w:gridCol w:w="1291"/>
        <w:gridCol w:w="5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行业名称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企业名称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设计产能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2020年产值</w:t>
            </w:r>
            <w:r>
              <w:rPr>
                <w:rFonts w:hint="eastAsia" w:ascii="仿宋_GB2312" w:hAnsi="宋体" w:eastAsia="仿宋_GB2312" w:cs="仿宋_GB2312"/>
                <w:b w:val="0"/>
                <w:bCs w:val="0"/>
                <w:i w:val="0"/>
                <w:iCs w:val="0"/>
                <w:color w:val="auto"/>
                <w:kern w:val="0"/>
                <w:sz w:val="18"/>
                <w:szCs w:val="18"/>
                <w:u w:val="none"/>
                <w:lang w:val="en-US" w:eastAsia="zh-CN" w:bidi="ar"/>
              </w:rPr>
              <w:br w:type="textWrapping"/>
            </w:r>
            <w:r>
              <w:rPr>
                <w:rFonts w:hint="eastAsia" w:ascii="仿宋_GB2312" w:hAnsi="宋体" w:eastAsia="仿宋_GB2312" w:cs="仿宋_GB2312"/>
                <w:b w:val="0"/>
                <w:bCs w:val="0"/>
                <w:i w:val="0"/>
                <w:iCs w:val="0"/>
                <w:color w:val="auto"/>
                <w:kern w:val="0"/>
                <w:sz w:val="18"/>
                <w:szCs w:val="18"/>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规上</w:t>
            </w:r>
            <w:r>
              <w:rPr>
                <w:rFonts w:hint="eastAsia" w:ascii="仿宋_GB2312" w:hAnsi="宋体" w:eastAsia="仿宋_GB2312" w:cs="仿宋_GB2312"/>
                <w:b w:val="0"/>
                <w:bCs w:val="0"/>
                <w:i w:val="0"/>
                <w:iCs w:val="0"/>
                <w:color w:val="auto"/>
                <w:kern w:val="0"/>
                <w:sz w:val="18"/>
                <w:szCs w:val="18"/>
                <w:u w:val="none"/>
                <w:lang w:val="en-US" w:eastAsia="zh-CN" w:bidi="ar"/>
              </w:rPr>
              <w:br w:type="textWrapping"/>
            </w:r>
            <w:r>
              <w:rPr>
                <w:rFonts w:hint="eastAsia" w:ascii="仿宋_GB2312" w:hAnsi="宋体" w:eastAsia="仿宋_GB2312" w:cs="仿宋_GB2312"/>
                <w:b w:val="0"/>
                <w:bCs w:val="0"/>
                <w:i w:val="0"/>
                <w:iCs w:val="0"/>
                <w:color w:val="auto"/>
                <w:kern w:val="0"/>
                <w:sz w:val="18"/>
                <w:szCs w:val="18"/>
                <w:u w:val="none"/>
                <w:lang w:val="en-US" w:eastAsia="zh-CN" w:bidi="ar"/>
              </w:rPr>
              <w:t>（是/否）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行业分类</w:t>
            </w:r>
            <w:r>
              <w:rPr>
                <w:rFonts w:hint="eastAsia" w:ascii="仿宋_GB2312" w:hAnsi="宋体" w:eastAsia="仿宋_GB2312" w:cs="仿宋_GB2312"/>
                <w:b w:val="0"/>
                <w:bCs w:val="0"/>
                <w:i w:val="0"/>
                <w:iCs w:val="0"/>
                <w:color w:val="auto"/>
                <w:kern w:val="0"/>
                <w:sz w:val="18"/>
                <w:szCs w:val="18"/>
                <w:u w:val="none"/>
                <w:lang w:val="en-US" w:eastAsia="zh-CN" w:bidi="ar"/>
              </w:rPr>
              <w:br w:type="textWrapping"/>
            </w:r>
            <w:r>
              <w:rPr>
                <w:rFonts w:hint="eastAsia" w:ascii="仿宋_GB2312" w:hAnsi="宋体" w:eastAsia="仿宋_GB2312" w:cs="仿宋_GB2312"/>
                <w:b w:val="0"/>
                <w:bCs w:val="0"/>
                <w:i w:val="0"/>
                <w:iCs w:val="0"/>
                <w:color w:val="auto"/>
                <w:kern w:val="0"/>
                <w:sz w:val="18"/>
                <w:szCs w:val="18"/>
                <w:u w:val="none"/>
                <w:lang w:val="en-US" w:eastAsia="zh-CN" w:bidi="ar"/>
              </w:rPr>
              <w:t>（按国民行业分类）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实际能耗（等价值）</w:t>
            </w:r>
            <w:r>
              <w:rPr>
                <w:rFonts w:hint="eastAsia" w:ascii="仿宋_GB2312" w:hAnsi="宋体" w:eastAsia="仿宋_GB2312" w:cs="仿宋_GB2312"/>
                <w:b w:val="0"/>
                <w:bCs w:val="0"/>
                <w:i w:val="0"/>
                <w:iCs w:val="0"/>
                <w:color w:val="auto"/>
                <w:kern w:val="0"/>
                <w:sz w:val="18"/>
                <w:szCs w:val="18"/>
                <w:u w:val="none"/>
                <w:lang w:val="en-US" w:eastAsia="zh-CN" w:bidi="ar"/>
              </w:rPr>
              <w:br w:type="textWrapping"/>
            </w:r>
            <w:r>
              <w:rPr>
                <w:rFonts w:hint="eastAsia" w:ascii="仿宋_GB2312" w:hAnsi="宋体" w:eastAsia="仿宋_GB2312" w:cs="仿宋_GB2312"/>
                <w:b w:val="0"/>
                <w:bCs w:val="0"/>
                <w:i w:val="0"/>
                <w:iCs w:val="0"/>
                <w:color w:val="auto"/>
                <w:kern w:val="0"/>
                <w:sz w:val="18"/>
                <w:szCs w:val="18"/>
                <w:u w:val="none"/>
                <w:lang w:val="en-US" w:eastAsia="zh-CN" w:bidi="ar"/>
              </w:rPr>
              <w:t>（吨标煤）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2020年增加值</w:t>
            </w:r>
          </w:p>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特色农产品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开阳农汇果业有限公司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5000吨/年刺梨、猕猴桃、枇杷等食品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920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食品加工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61.76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337.45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开阳山野农业发展有限公司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7500吨/年富硒香菇、黄花菜等产品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2748.3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食品加工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70.91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508.99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贵州开阳华兴油脂有限责任公司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10000吨菜籽油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3258.3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食品制造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126.71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336.58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6926.6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259.38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1183.02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r>
    </w:tbl>
    <w:p>
      <w:pPr>
        <w:ind w:left="0" w:leftChars="0" w:firstLine="0" w:firstLineChars="0"/>
        <w:jc w:val="center"/>
        <w:rPr>
          <w:rFonts w:hint="eastAsia"/>
          <w:color w:val="auto"/>
          <w:lang w:val="en-US" w:eastAsia="zh-CN"/>
        </w:rPr>
      </w:pPr>
      <w:r>
        <w:rPr>
          <w:rFonts w:hint="eastAsia"/>
          <w:color w:val="auto"/>
          <w:lang w:val="en-US" w:eastAsia="zh-CN"/>
        </w:rPr>
        <w:t>表3-9  2020年开发区现有规上企业分行业（其他）经营情况表</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6"/>
        <w:gridCol w:w="2365"/>
        <w:gridCol w:w="3288"/>
        <w:gridCol w:w="1085"/>
        <w:gridCol w:w="874"/>
        <w:gridCol w:w="1532"/>
        <w:gridCol w:w="1501"/>
        <w:gridCol w:w="1204"/>
        <w:gridCol w:w="1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行业名称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企业名称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设计产能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2020年产值</w:t>
            </w:r>
            <w:r>
              <w:rPr>
                <w:rFonts w:hint="eastAsia" w:ascii="仿宋_GB2312" w:hAnsi="宋体" w:eastAsia="仿宋_GB2312" w:cs="仿宋_GB2312"/>
                <w:b w:val="0"/>
                <w:bCs w:val="0"/>
                <w:i w:val="0"/>
                <w:iCs w:val="0"/>
                <w:color w:val="auto"/>
                <w:kern w:val="0"/>
                <w:sz w:val="18"/>
                <w:szCs w:val="18"/>
                <w:u w:val="none"/>
                <w:lang w:val="en-US" w:eastAsia="zh-CN" w:bidi="ar"/>
              </w:rPr>
              <w:br w:type="textWrapping"/>
            </w:r>
            <w:r>
              <w:rPr>
                <w:rFonts w:hint="eastAsia" w:ascii="仿宋_GB2312" w:hAnsi="宋体" w:eastAsia="仿宋_GB2312" w:cs="仿宋_GB2312"/>
                <w:b w:val="0"/>
                <w:bCs w:val="0"/>
                <w:i w:val="0"/>
                <w:iCs w:val="0"/>
                <w:color w:val="auto"/>
                <w:kern w:val="0"/>
                <w:sz w:val="18"/>
                <w:szCs w:val="18"/>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规上</w:t>
            </w:r>
            <w:r>
              <w:rPr>
                <w:rFonts w:hint="eastAsia" w:ascii="仿宋_GB2312" w:hAnsi="宋体" w:eastAsia="仿宋_GB2312" w:cs="仿宋_GB2312"/>
                <w:b w:val="0"/>
                <w:bCs w:val="0"/>
                <w:i w:val="0"/>
                <w:iCs w:val="0"/>
                <w:color w:val="auto"/>
                <w:kern w:val="0"/>
                <w:sz w:val="18"/>
                <w:szCs w:val="18"/>
                <w:u w:val="none"/>
                <w:lang w:val="en-US" w:eastAsia="zh-CN" w:bidi="ar"/>
              </w:rPr>
              <w:br w:type="textWrapping"/>
            </w:r>
            <w:r>
              <w:rPr>
                <w:rFonts w:hint="eastAsia" w:ascii="仿宋_GB2312" w:hAnsi="宋体" w:eastAsia="仿宋_GB2312" w:cs="仿宋_GB2312"/>
                <w:b w:val="0"/>
                <w:bCs w:val="0"/>
                <w:i w:val="0"/>
                <w:iCs w:val="0"/>
                <w:color w:val="auto"/>
                <w:kern w:val="0"/>
                <w:sz w:val="18"/>
                <w:szCs w:val="18"/>
                <w:u w:val="none"/>
                <w:lang w:val="en-US" w:eastAsia="zh-CN" w:bidi="ar"/>
              </w:rPr>
              <w:t>（是/否）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行业分类</w:t>
            </w:r>
            <w:r>
              <w:rPr>
                <w:rFonts w:hint="eastAsia" w:ascii="仿宋_GB2312" w:hAnsi="宋体" w:eastAsia="仿宋_GB2312" w:cs="仿宋_GB2312"/>
                <w:b w:val="0"/>
                <w:bCs w:val="0"/>
                <w:i w:val="0"/>
                <w:iCs w:val="0"/>
                <w:color w:val="auto"/>
                <w:kern w:val="0"/>
                <w:sz w:val="18"/>
                <w:szCs w:val="18"/>
                <w:u w:val="none"/>
                <w:lang w:val="en-US" w:eastAsia="zh-CN" w:bidi="ar"/>
              </w:rPr>
              <w:br w:type="textWrapping"/>
            </w:r>
            <w:r>
              <w:rPr>
                <w:rFonts w:hint="eastAsia" w:ascii="仿宋_GB2312" w:hAnsi="宋体" w:eastAsia="仿宋_GB2312" w:cs="仿宋_GB2312"/>
                <w:b w:val="0"/>
                <w:bCs w:val="0"/>
                <w:i w:val="0"/>
                <w:iCs w:val="0"/>
                <w:color w:val="auto"/>
                <w:kern w:val="0"/>
                <w:sz w:val="18"/>
                <w:szCs w:val="18"/>
                <w:u w:val="none"/>
                <w:lang w:val="en-US" w:eastAsia="zh-CN" w:bidi="ar"/>
              </w:rPr>
              <w:t>（按国民行业分类）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实际能耗（等价值）</w:t>
            </w:r>
            <w:r>
              <w:rPr>
                <w:rFonts w:hint="eastAsia" w:ascii="仿宋_GB2312" w:hAnsi="宋体" w:eastAsia="仿宋_GB2312" w:cs="仿宋_GB2312"/>
                <w:b w:val="0"/>
                <w:bCs w:val="0"/>
                <w:i w:val="0"/>
                <w:iCs w:val="0"/>
                <w:color w:val="auto"/>
                <w:kern w:val="0"/>
                <w:sz w:val="18"/>
                <w:szCs w:val="18"/>
                <w:u w:val="none"/>
                <w:lang w:val="en-US" w:eastAsia="zh-CN" w:bidi="ar"/>
              </w:rPr>
              <w:br w:type="textWrapping"/>
            </w:r>
            <w:r>
              <w:rPr>
                <w:rFonts w:hint="eastAsia" w:ascii="仿宋_GB2312" w:hAnsi="宋体" w:eastAsia="仿宋_GB2312" w:cs="仿宋_GB2312"/>
                <w:b w:val="0"/>
                <w:bCs w:val="0"/>
                <w:i w:val="0"/>
                <w:iCs w:val="0"/>
                <w:color w:val="auto"/>
                <w:kern w:val="0"/>
                <w:sz w:val="18"/>
                <w:szCs w:val="18"/>
                <w:u w:val="none"/>
                <w:lang w:val="en-US" w:eastAsia="zh-CN" w:bidi="ar"/>
              </w:rPr>
              <w:t>（吨标煤）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2020年增加值</w:t>
            </w:r>
          </w:p>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开阳石达天然气有限公司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供应天然气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2293.5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批发零售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21.46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407.78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贵州台农青印迹饲料发展有限公司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10万吨/年饲料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5658.7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制造业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1665.17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371.21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贵州快联华恒石化有限公司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处理原料2万吨/年废机油，实际处理4千吨/年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4708.3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化工</w:t>
            </w: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82.97 </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1412.02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空气化工（贵阳）有限公司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液氧1.83、液氮1.5、液氩2.4、氮、氧4.64亿立方等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28765.3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化工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154.45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8643.97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接开阳化工电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开阳同辉气体有限公司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10万吨/年食品级二氧化碳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3178.2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化工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3409.21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550.46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贵州林源得益环保科技有限责任公司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5万吨电子级氨水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2097.44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批发零售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86.96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r>
              <w:rPr>
                <w:rFonts w:hint="default" w:ascii="仿宋_GB2312" w:hAnsi="宋体" w:eastAsia="仿宋_GB2312" w:cs="仿宋_GB2312"/>
                <w:b w:val="0"/>
                <w:bCs w:val="0"/>
                <w:i w:val="0"/>
                <w:iCs w:val="0"/>
                <w:color w:val="auto"/>
                <w:kern w:val="0"/>
                <w:sz w:val="18"/>
                <w:szCs w:val="18"/>
                <w:u w:val="none"/>
                <w:lang w:val="en-US" w:eastAsia="zh-CN" w:bidi="ar"/>
              </w:rPr>
              <w:t xml:space="preserve">482.41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_GB2312" w:hAnsi="宋体" w:eastAsia="仿宋_GB2312" w:cs="仿宋_GB2312"/>
                <w:b w:val="0"/>
                <w:bCs w:val="0"/>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46701.44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1769.6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11867.85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p>
        </w:tc>
      </w:tr>
    </w:tbl>
    <w:p>
      <w:pPr>
        <w:ind w:left="0" w:leftChars="0" w:firstLine="0" w:firstLineChars="0"/>
        <w:rPr>
          <w:rFonts w:hint="eastAsia"/>
          <w:color w:val="auto"/>
          <w:lang w:val="en-US" w:eastAsia="zh-CN"/>
        </w:rPr>
      </w:pPr>
    </w:p>
    <w:p>
      <w:pPr>
        <w:ind w:left="0" w:leftChars="0" w:firstLine="0" w:firstLineChars="0"/>
        <w:rPr>
          <w:rFonts w:hint="eastAsia"/>
          <w:color w:val="auto"/>
          <w:lang w:val="en-US" w:eastAsia="zh-CN"/>
        </w:rPr>
        <w:sectPr>
          <w:pgSz w:w="16838" w:h="11906" w:orient="landscape"/>
          <w:pgMar w:top="1800" w:right="1440" w:bottom="1800" w:left="1440" w:header="851" w:footer="992" w:gutter="0"/>
          <w:pgNumType w:fmt="decimal"/>
          <w:cols w:space="425" w:num="1"/>
          <w:docGrid w:type="lines" w:linePitch="312" w:charSpace="0"/>
        </w:sectPr>
      </w:pPr>
    </w:p>
    <w:p>
      <w:pPr>
        <w:ind w:left="0" w:leftChars="0" w:firstLine="0" w:firstLineChars="0"/>
        <w:jc w:val="center"/>
        <w:rPr>
          <w:rFonts w:hint="eastAsia"/>
          <w:color w:val="auto"/>
          <w:lang w:val="en-US" w:eastAsia="zh-CN"/>
        </w:rPr>
      </w:pPr>
      <w:r>
        <w:rPr>
          <w:rFonts w:hint="eastAsia"/>
          <w:color w:val="auto"/>
          <w:lang w:val="en-US" w:eastAsia="zh-CN"/>
        </w:rPr>
        <w:t>表3-10  2020年开发区现有规上企业分行业（大类）经营情况表</w:t>
      </w:r>
    </w:p>
    <w:tbl>
      <w:tblPr>
        <w:tblStyle w:val="11"/>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86"/>
        <w:gridCol w:w="2001"/>
        <w:gridCol w:w="1474"/>
        <w:gridCol w:w="2193"/>
        <w:gridCol w:w="16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6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行业名称</w:t>
            </w:r>
          </w:p>
        </w:tc>
        <w:tc>
          <w:tcPr>
            <w:tcW w:w="11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2020年产值（万元）</w:t>
            </w:r>
          </w:p>
        </w:tc>
        <w:tc>
          <w:tcPr>
            <w:tcW w:w="8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产值占比（%）</w:t>
            </w:r>
          </w:p>
        </w:tc>
        <w:tc>
          <w:tcPr>
            <w:tcW w:w="1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2020年增加值（万元）</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增加值占比（%）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磷系新材料</w:t>
            </w:r>
          </w:p>
        </w:tc>
        <w:tc>
          <w:tcPr>
            <w:tcW w:w="11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883983.74</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82.28</w:t>
            </w:r>
          </w:p>
        </w:tc>
        <w:tc>
          <w:tcPr>
            <w:tcW w:w="1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248230.86</w:t>
            </w:r>
          </w:p>
        </w:tc>
        <w:tc>
          <w:tcPr>
            <w:tcW w:w="9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83.32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氯碱化工</w:t>
            </w:r>
          </w:p>
        </w:tc>
        <w:tc>
          <w:tcPr>
            <w:tcW w:w="11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10991</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1.02</w:t>
            </w:r>
          </w:p>
        </w:tc>
        <w:tc>
          <w:tcPr>
            <w:tcW w:w="1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3302.8</w:t>
            </w:r>
          </w:p>
        </w:tc>
        <w:tc>
          <w:tcPr>
            <w:tcW w:w="9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1.11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储能产业</w:t>
            </w:r>
          </w:p>
        </w:tc>
        <w:tc>
          <w:tcPr>
            <w:tcW w:w="11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66850</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6.22</w:t>
            </w:r>
          </w:p>
        </w:tc>
        <w:tc>
          <w:tcPr>
            <w:tcW w:w="1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20088.41</w:t>
            </w:r>
          </w:p>
        </w:tc>
        <w:tc>
          <w:tcPr>
            <w:tcW w:w="9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6.74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铝基新材料</w:t>
            </w:r>
          </w:p>
        </w:tc>
        <w:tc>
          <w:tcPr>
            <w:tcW w:w="11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17771.7</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1.65</w:t>
            </w:r>
          </w:p>
        </w:tc>
        <w:tc>
          <w:tcPr>
            <w:tcW w:w="1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2841.69</w:t>
            </w:r>
          </w:p>
        </w:tc>
        <w:tc>
          <w:tcPr>
            <w:tcW w:w="9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0.95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新型建材</w:t>
            </w:r>
          </w:p>
        </w:tc>
        <w:tc>
          <w:tcPr>
            <w:tcW w:w="11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41115.4</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3.83</w:t>
            </w:r>
          </w:p>
        </w:tc>
        <w:tc>
          <w:tcPr>
            <w:tcW w:w="1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10405.03</w:t>
            </w:r>
          </w:p>
        </w:tc>
        <w:tc>
          <w:tcPr>
            <w:tcW w:w="9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3.49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特色农产品</w:t>
            </w:r>
          </w:p>
        </w:tc>
        <w:tc>
          <w:tcPr>
            <w:tcW w:w="11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6926.6</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0.64</w:t>
            </w:r>
          </w:p>
        </w:tc>
        <w:tc>
          <w:tcPr>
            <w:tcW w:w="1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1183.02</w:t>
            </w:r>
          </w:p>
        </w:tc>
        <w:tc>
          <w:tcPr>
            <w:tcW w:w="9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其他</w:t>
            </w:r>
          </w:p>
        </w:tc>
        <w:tc>
          <w:tcPr>
            <w:tcW w:w="11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46701.44</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4.35</w:t>
            </w:r>
          </w:p>
        </w:tc>
        <w:tc>
          <w:tcPr>
            <w:tcW w:w="1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11867.85</w:t>
            </w:r>
          </w:p>
        </w:tc>
        <w:tc>
          <w:tcPr>
            <w:tcW w:w="9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3.98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合计</w:t>
            </w:r>
          </w:p>
        </w:tc>
        <w:tc>
          <w:tcPr>
            <w:tcW w:w="11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1074339.88</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100</w:t>
            </w:r>
          </w:p>
        </w:tc>
        <w:tc>
          <w:tcPr>
            <w:tcW w:w="1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297919.66</w:t>
            </w:r>
          </w:p>
        </w:tc>
        <w:tc>
          <w:tcPr>
            <w:tcW w:w="9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100</w:t>
            </w:r>
          </w:p>
        </w:tc>
      </w:tr>
    </w:tbl>
    <w:p>
      <w:pPr>
        <w:ind w:left="0" w:leftChars="0" w:firstLine="0" w:firstLineChars="0"/>
        <w:jc w:val="both"/>
        <w:rPr>
          <w:rFonts w:hint="eastAsia"/>
          <w:color w:val="auto"/>
          <w:lang w:val="en-US" w:eastAsia="zh-CN"/>
        </w:rPr>
      </w:pPr>
      <w:r>
        <w:rPr>
          <w:color w:val="auto"/>
        </w:rPr>
        <w:drawing>
          <wp:inline distT="0" distB="0" distL="114300" distR="114300">
            <wp:extent cx="5345430" cy="2628900"/>
            <wp:effectExtent l="4445" t="4445" r="22225" b="14605"/>
            <wp:docPr id="2" name="图表 3" descr="7b0a202020202263686172745265734964223a2022343632353736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jc w:val="center"/>
        <w:rPr>
          <w:rFonts w:hint="eastAsia"/>
          <w:color w:val="auto"/>
          <w:lang w:val="en-US" w:eastAsia="zh-CN"/>
        </w:rPr>
      </w:pPr>
      <w:r>
        <w:rPr>
          <w:rFonts w:hint="eastAsia"/>
          <w:color w:val="auto"/>
          <w:lang w:val="en-US" w:eastAsia="zh-CN"/>
        </w:rPr>
        <w:t>图3-3 2020年开发区现有规上企业分行业经营情况图</w:t>
      </w:r>
    </w:p>
    <w:p>
      <w:pPr>
        <w:ind w:left="0" w:leftChars="0" w:firstLine="0" w:firstLineChars="0"/>
        <w:jc w:val="both"/>
        <w:rPr>
          <w:rFonts w:hint="default"/>
          <w:color w:val="auto"/>
          <w:lang w:val="en-US" w:eastAsia="zh-CN"/>
        </w:rPr>
      </w:pPr>
      <w:r>
        <w:rPr>
          <w:color w:val="auto"/>
        </w:rPr>
        <w:drawing>
          <wp:inline distT="0" distB="0" distL="114300" distR="114300">
            <wp:extent cx="5376545" cy="2838450"/>
            <wp:effectExtent l="4445" t="4445" r="10160" b="14605"/>
            <wp:docPr id="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jc w:val="center"/>
        <w:rPr>
          <w:rFonts w:hint="eastAsia"/>
          <w:color w:val="auto"/>
          <w:lang w:val="en-US" w:eastAsia="zh-CN"/>
        </w:rPr>
      </w:pPr>
      <w:r>
        <w:rPr>
          <w:rFonts w:hint="eastAsia"/>
          <w:color w:val="auto"/>
          <w:lang w:val="en-US" w:eastAsia="zh-CN"/>
        </w:rPr>
        <w:t>图3-4 2020年开发区现有规上企业分行业产值比例图</w:t>
      </w:r>
    </w:p>
    <w:p>
      <w:pPr>
        <w:ind w:left="0" w:leftChars="0" w:firstLine="0" w:firstLineChars="0"/>
        <w:jc w:val="center"/>
        <w:rPr>
          <w:rFonts w:hint="eastAsia"/>
          <w:color w:val="auto"/>
          <w:lang w:val="en-US" w:eastAsia="zh-CN"/>
        </w:rPr>
      </w:pPr>
      <w:r>
        <w:rPr>
          <w:rFonts w:hint="eastAsia"/>
          <w:color w:val="auto"/>
          <w:lang w:val="en-US" w:eastAsia="zh-CN"/>
        </w:rPr>
        <w:t>表3-11  2020年开发区区现有规上企业分行业（大类）能耗情况表</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16"/>
        <w:gridCol w:w="1228"/>
        <w:gridCol w:w="1351"/>
        <w:gridCol w:w="1167"/>
        <w:gridCol w:w="889"/>
        <w:gridCol w:w="1322"/>
        <w:gridCol w:w="14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行业名称</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2020年产值（万元）</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2020年增加值（万元）</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2020年能耗（tce）</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能耗占比（%）</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产值能耗（tce/万元）</w:t>
            </w:r>
          </w:p>
        </w:tc>
        <w:tc>
          <w:tcPr>
            <w:tcW w:w="8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增加值能耗（tce/万元）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磷系新材料</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883983.74</w:t>
            </w: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248230.86</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1197782.92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88.45</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1.35</w:t>
            </w:r>
          </w:p>
        </w:tc>
        <w:tc>
          <w:tcPr>
            <w:tcW w:w="8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4.83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氯碱化工</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10991</w:t>
            </w: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3302.8</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2555.11</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0.19</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0.23</w:t>
            </w:r>
          </w:p>
        </w:tc>
        <w:tc>
          <w:tcPr>
            <w:tcW w:w="8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0.77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储能产业</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66850</w:t>
            </w: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20088.41</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23003.29</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1.7</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0.34</w:t>
            </w:r>
          </w:p>
        </w:tc>
        <w:tc>
          <w:tcPr>
            <w:tcW w:w="8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铝基新材料</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17771.7</w:t>
            </w: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2841.69</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43734.63</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3.23</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2.46</w:t>
            </w:r>
          </w:p>
        </w:tc>
        <w:tc>
          <w:tcPr>
            <w:tcW w:w="8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15.39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新型建材</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41115.4</w:t>
            </w: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10405.03</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85093.53</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6.28</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2.07</w:t>
            </w:r>
          </w:p>
        </w:tc>
        <w:tc>
          <w:tcPr>
            <w:tcW w:w="8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8.18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特色农产品</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6926.6</w:t>
            </w: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1183.02</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259.38</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0.02</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0.04</w:t>
            </w:r>
          </w:p>
        </w:tc>
        <w:tc>
          <w:tcPr>
            <w:tcW w:w="8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其他</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46701.44</w:t>
            </w: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11867.85</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1769.6</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0.13</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0.04</w:t>
            </w:r>
          </w:p>
        </w:tc>
        <w:tc>
          <w:tcPr>
            <w:tcW w:w="8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合计</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1074339.88</w:t>
            </w: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297919.66</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1354198.46</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100</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1.26</w:t>
            </w:r>
          </w:p>
        </w:tc>
        <w:tc>
          <w:tcPr>
            <w:tcW w:w="8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宋体" w:eastAsia="仿宋_GB2312" w:cs="仿宋_GB2312"/>
                <w:b w:val="0"/>
                <w:bCs w:val="0"/>
                <w:i w:val="0"/>
                <w:iCs w:val="0"/>
                <w:color w:val="auto"/>
                <w:kern w:val="0"/>
                <w:sz w:val="18"/>
                <w:szCs w:val="18"/>
                <w:u w:val="none"/>
                <w:lang w:val="en-US" w:eastAsia="zh-CN" w:bidi="ar"/>
              </w:rPr>
            </w:pPr>
            <w:r>
              <w:rPr>
                <w:rFonts w:hint="eastAsia" w:ascii="仿宋_GB2312" w:hAnsi="宋体" w:eastAsia="仿宋_GB2312" w:cs="仿宋_GB2312"/>
                <w:b w:val="0"/>
                <w:bCs w:val="0"/>
                <w:i w:val="0"/>
                <w:iCs w:val="0"/>
                <w:color w:val="auto"/>
                <w:kern w:val="0"/>
                <w:sz w:val="18"/>
                <w:szCs w:val="18"/>
                <w:u w:val="none"/>
                <w:lang w:val="en-US" w:eastAsia="zh-CN" w:bidi="ar"/>
              </w:rPr>
              <w:t>4.55</w:t>
            </w:r>
          </w:p>
        </w:tc>
      </w:tr>
    </w:tbl>
    <w:p>
      <w:pPr>
        <w:ind w:left="0" w:leftChars="0" w:firstLine="0" w:firstLineChars="0"/>
        <w:jc w:val="both"/>
        <w:rPr>
          <w:rFonts w:hint="eastAsia"/>
          <w:color w:val="auto"/>
          <w:lang w:val="en-US" w:eastAsia="zh-CN"/>
        </w:rPr>
      </w:pPr>
      <w:r>
        <w:rPr>
          <w:color w:val="auto"/>
        </w:rPr>
        <w:drawing>
          <wp:inline distT="0" distB="0" distL="114300" distR="114300">
            <wp:extent cx="5270500" cy="3106420"/>
            <wp:effectExtent l="5080" t="4445" r="20320" b="13335"/>
            <wp:docPr id="9" name="图表 8" descr="7b0a202020202263686172745265734964223a2022343532363834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rPr>
          <w:rFonts w:hint="eastAsia"/>
          <w:color w:val="auto"/>
          <w:lang w:val="en-US" w:eastAsia="zh-CN"/>
        </w:rPr>
      </w:pPr>
      <w:r>
        <w:rPr>
          <w:rFonts w:hint="eastAsia"/>
          <w:color w:val="auto"/>
          <w:lang w:val="en-US" w:eastAsia="zh-CN"/>
        </w:rPr>
        <w:t>图3-5 2020年开发区现有规上企业分行业能耗比例分布图</w:t>
      </w:r>
    </w:p>
    <w:p>
      <w:pPr>
        <w:rPr>
          <w:rFonts w:hint="eastAsia"/>
          <w:color w:val="auto"/>
          <w:lang w:val="en-US" w:eastAsia="zh-CN"/>
        </w:rPr>
      </w:pPr>
    </w:p>
    <w:p>
      <w:pPr>
        <w:ind w:left="0" w:leftChars="0" w:firstLine="0" w:firstLineChars="0"/>
        <w:rPr>
          <w:color w:val="auto"/>
        </w:rPr>
      </w:pPr>
      <w:r>
        <w:rPr>
          <w:color w:val="auto"/>
        </w:rPr>
        <w:drawing>
          <wp:inline distT="0" distB="0" distL="114300" distR="114300">
            <wp:extent cx="5271135" cy="2486660"/>
            <wp:effectExtent l="4445" t="4445" r="20320" b="23495"/>
            <wp:docPr id="14"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ind w:left="0" w:leftChars="0" w:firstLine="0" w:firstLineChars="0"/>
        <w:jc w:val="center"/>
        <w:rPr>
          <w:rFonts w:hint="eastAsia"/>
          <w:color w:val="auto"/>
          <w:lang w:val="en-US" w:eastAsia="zh-CN"/>
        </w:rPr>
      </w:pPr>
      <w:r>
        <w:rPr>
          <w:rFonts w:hint="eastAsia"/>
          <w:color w:val="auto"/>
          <w:lang w:val="en-US" w:eastAsia="zh-CN"/>
        </w:rPr>
        <w:t>图3-6 2020年开发区现有规上企业分行业产值、增加值能耗分布图</w:t>
      </w:r>
    </w:p>
    <w:p>
      <w:pPr>
        <w:bidi w:val="0"/>
        <w:rPr>
          <w:rFonts w:hint="eastAsia"/>
          <w:color w:val="auto"/>
          <w:lang w:val="en-US" w:eastAsia="zh-CN"/>
        </w:rPr>
      </w:pPr>
      <w:r>
        <w:rPr>
          <w:rFonts w:hint="eastAsia"/>
          <w:color w:val="auto"/>
          <w:lang w:val="en-US" w:eastAsia="zh-CN"/>
        </w:rPr>
        <w:t>根据以上分析，从大类看，开发区主要产业2020年产值中，磷系新材料产值最高，达到88.4亿元，占总产值的82.28%，特色农产品行业最低，为0.69亿元，占总产值的0.64%。增加值方面，磷系新材料也产值最高，达到24.82亿元，占总增加值的83.32%，特色农产品最低，为0.12亿元，占增加值的0.4%。</w:t>
      </w:r>
    </w:p>
    <w:p>
      <w:pPr>
        <w:rPr>
          <w:rFonts w:hint="eastAsia"/>
          <w:color w:val="auto"/>
          <w:lang w:val="en-US" w:eastAsia="zh-CN"/>
        </w:rPr>
      </w:pPr>
      <w:r>
        <w:rPr>
          <w:rFonts w:hint="eastAsia"/>
          <w:color w:val="auto"/>
          <w:lang w:val="en-US" w:eastAsia="zh-CN"/>
        </w:rPr>
        <w:t>在能源消费量方面，磷系新材料最高，达到119.78万吨标准煤，占总能耗的88.45%；特色农产品行业最低，为0.03万吨标准煤，占总能耗的0.02%；在产值能耗方面，铝基新材料最高，为2.46吨标煤/万元，特色农产品行业最低，为0.04吨标煤/万元；在增加值能耗方面，铝基新材料最高，为15.39吨标煤/万元，其他行业最低，为0.15吨标煤/万元。</w:t>
      </w:r>
    </w:p>
    <w:p>
      <w:pPr>
        <w:pStyle w:val="4"/>
        <w:bidi w:val="0"/>
        <w:rPr>
          <w:rFonts w:hint="eastAsia"/>
          <w:color w:val="auto"/>
          <w:lang w:val="en-US" w:eastAsia="zh-CN"/>
        </w:rPr>
      </w:pPr>
      <w:bookmarkStart w:id="27" w:name="_Toc24718"/>
      <w:r>
        <w:rPr>
          <w:rFonts w:hint="eastAsia"/>
          <w:color w:val="auto"/>
          <w:lang w:val="en-US" w:eastAsia="zh-CN"/>
        </w:rPr>
        <w:t>3.1.2 拟入驻项目情况</w:t>
      </w:r>
      <w:bookmarkEnd w:id="27"/>
    </w:p>
    <w:p>
      <w:pPr>
        <w:rPr>
          <w:rFonts w:hint="default"/>
          <w:color w:val="auto"/>
          <w:lang w:val="en-US" w:eastAsia="zh-CN"/>
        </w:rPr>
      </w:pPr>
      <w:r>
        <w:rPr>
          <w:rFonts w:hint="eastAsia"/>
          <w:color w:val="auto"/>
          <w:lang w:val="en-US" w:eastAsia="zh-CN"/>
        </w:rPr>
        <w:t>根据贵州开阳经济开发区（开阳县工业园区）招商引资情况，按拟入驻项目预计投产时间测算项目计划能耗、工业产值及增加值情况。</w:t>
      </w:r>
    </w:p>
    <w:p>
      <w:pPr>
        <w:rPr>
          <w:rFonts w:hint="eastAsia"/>
          <w:color w:val="auto"/>
          <w:lang w:val="en-US" w:eastAsia="zh-CN"/>
        </w:rPr>
      </w:pPr>
    </w:p>
    <w:p>
      <w:pPr>
        <w:rPr>
          <w:rFonts w:hint="eastAsia"/>
          <w:color w:val="auto"/>
          <w:lang w:val="en-US" w:eastAsia="zh-CN"/>
        </w:rPr>
        <w:sectPr>
          <w:pgSz w:w="11906" w:h="16838"/>
          <w:pgMar w:top="1440" w:right="1800" w:bottom="1440" w:left="1800" w:header="851" w:footer="992" w:gutter="0"/>
          <w:pgNumType w:fmt="decimal"/>
          <w:cols w:space="425" w:num="1"/>
          <w:docGrid w:type="lines" w:linePitch="312" w:charSpace="0"/>
        </w:sectPr>
      </w:pPr>
    </w:p>
    <w:p>
      <w:pPr>
        <w:rPr>
          <w:rFonts w:hint="default"/>
          <w:color w:val="auto"/>
          <w:lang w:val="en-US" w:eastAsia="zh-CN"/>
        </w:rPr>
      </w:pPr>
      <w:r>
        <w:rPr>
          <w:rFonts w:hint="eastAsia"/>
          <w:color w:val="auto"/>
          <w:lang w:val="en-US" w:eastAsia="zh-CN"/>
        </w:rPr>
        <w:t>在拟入驻项目能耗测算中，根据拟入驻项目规划建成投产时间结合各项目预估各年度投产产能，测算项目各年度计划能耗、工业产值及增加值情况，同时考虑项目后期因为同类型项目相继投产、市场饱和等情况，产能会逐渐下降。根据项目投产规划，同时结合2030年实现碳达峰，2060年实现碳中和的目标，因此能耗测算预测至2035年。</w:t>
      </w:r>
    </w:p>
    <w:p>
      <w:pPr>
        <w:rPr>
          <w:rFonts w:hint="eastAsia"/>
          <w:color w:val="auto"/>
          <w:lang w:val="en-US" w:eastAsia="zh-CN"/>
        </w:rPr>
      </w:pPr>
      <w:r>
        <w:rPr>
          <w:rFonts w:hint="eastAsia"/>
          <w:color w:val="auto"/>
          <w:lang w:val="en-US" w:eastAsia="zh-CN"/>
        </w:rPr>
        <w:t>1、磷系新材料</w:t>
      </w:r>
    </w:p>
    <w:p>
      <w:pPr>
        <w:jc w:val="center"/>
        <w:rPr>
          <w:rFonts w:hint="default"/>
          <w:color w:val="auto"/>
          <w:lang w:val="en-US" w:eastAsia="zh-CN"/>
        </w:rPr>
      </w:pPr>
      <w:r>
        <w:rPr>
          <w:rFonts w:hint="eastAsia"/>
          <w:color w:val="auto"/>
          <w:lang w:val="en-US" w:eastAsia="zh-CN"/>
        </w:rPr>
        <w:t>表3-12 开发区拟入驻项目（磷系新材料）预测经营情况表</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16"/>
        <w:gridCol w:w="2916"/>
        <w:gridCol w:w="4536"/>
        <w:gridCol w:w="1296"/>
        <w:gridCol w:w="1026"/>
        <w:gridCol w:w="1836"/>
        <w:gridCol w:w="11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行业名称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企业名称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设计产能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预计建成时间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预计产值</w:t>
            </w:r>
          </w:p>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计划能耗（等价值）</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（吨标煤）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预计增加值</w:t>
            </w:r>
          </w:p>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磷系新材料</w:t>
            </w:r>
          </w:p>
        </w:tc>
        <w:tc>
          <w:tcPr>
            <w:tcW w:w="0" w:type="auto"/>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贵州瓮福开磷氟硅新材料有限公司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二氧化硅综合利用项目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2023年12月</w:t>
            </w:r>
          </w:p>
        </w:tc>
        <w:tc>
          <w:tcPr>
            <w:tcW w:w="10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7278.29</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 xml:space="preserve">2984.10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1674.01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贵州开磷集团矿肥有限责任公司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40万吨（85%H3PO4）/年PPA项目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2023年6月</w:t>
            </w:r>
          </w:p>
        </w:tc>
        <w:tc>
          <w:tcPr>
            <w:tcW w:w="10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318492.9</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95547.87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89178.01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20万吨/年饲料级磷酸氢钙项目等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2022年9月</w:t>
            </w:r>
          </w:p>
        </w:tc>
        <w:tc>
          <w:tcPr>
            <w:tcW w:w="10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4736.34</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2368.17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1089.36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无机磷系消防阻燃材料研发项目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2022年12月</w:t>
            </w:r>
          </w:p>
        </w:tc>
        <w:tc>
          <w:tcPr>
            <w:tcW w:w="10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1247.32</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2382.39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324.3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磷化工生产装置尾气深度治理项目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2025年12月</w:t>
            </w:r>
          </w:p>
        </w:tc>
        <w:tc>
          <w:tcPr>
            <w:tcW w:w="10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883.72</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1687.90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229.77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4万吨年食品级钙盐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2025年7月</w:t>
            </w:r>
          </w:p>
        </w:tc>
        <w:tc>
          <w:tcPr>
            <w:tcW w:w="10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1273.58</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2432.53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331.13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碘资源回收利用项目及附属产品研发生产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2025年7月</w:t>
            </w:r>
          </w:p>
        </w:tc>
        <w:tc>
          <w:tcPr>
            <w:tcW w:w="10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598.3</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1142.76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113.68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贵州开磷有限责任公司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洋水矿区东翼深部磷矿（新建）矿产资源绿色开发项目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2024年12月</w:t>
            </w:r>
          </w:p>
        </w:tc>
        <w:tc>
          <w:tcPr>
            <w:tcW w:w="10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198435.88</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99217.94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89296.15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贵州新天鑫化工有限公司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磷碳绿色生产示范装置技改项目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2024年3月</w:t>
            </w:r>
          </w:p>
        </w:tc>
        <w:tc>
          <w:tcPr>
            <w:tcW w:w="10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251.51</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231.39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65.39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5万吨甲酸钙项目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2023年12月</w:t>
            </w:r>
          </w:p>
        </w:tc>
        <w:tc>
          <w:tcPr>
            <w:tcW w:w="10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49503.05</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45542.81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13860.85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3万吨五氧化二磷项目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2025年6月</w:t>
            </w:r>
          </w:p>
        </w:tc>
        <w:tc>
          <w:tcPr>
            <w:tcW w:w="10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2165.18</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1991.97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562.95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贵州开阳川东化工有限公司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贵州开阳川东化工有限公司绿色节能技改示范项目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2025年1月</w:t>
            </w:r>
          </w:p>
        </w:tc>
        <w:tc>
          <w:tcPr>
            <w:tcW w:w="10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10201.9</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14894.78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3162.59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贵州开阳青利天盟化工有限公司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2.4万吨/年甲酸、副产5万吨/年磷酸二氢钾等项目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2024年7月</w:t>
            </w:r>
          </w:p>
        </w:tc>
        <w:tc>
          <w:tcPr>
            <w:tcW w:w="10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17568.89</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39705.69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5446.36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贵州开阳化工有限公司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年产50万吨合成氨装置扩能改造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2022年12月</w:t>
            </w:r>
          </w:p>
        </w:tc>
        <w:tc>
          <w:tcPr>
            <w:tcW w:w="10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31.14</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231.39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5.32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一套9000吨/年的氢能装置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2023年12月</w:t>
            </w:r>
          </w:p>
        </w:tc>
        <w:tc>
          <w:tcPr>
            <w:tcW w:w="10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1532.84</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3464.21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475.18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拟建30万吨甲醇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2025年12月</w:t>
            </w:r>
          </w:p>
        </w:tc>
        <w:tc>
          <w:tcPr>
            <w:tcW w:w="10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85957.52</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194264.00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26646.83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贵阳富开新材料有限公司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年产30000吨无卤阻燃剂及10000吨五氧化二磷项目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2024年8月</w:t>
            </w:r>
          </w:p>
        </w:tc>
        <w:tc>
          <w:tcPr>
            <w:tcW w:w="10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15409.03</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4776.80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4006.35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贵州高山矿业有限公司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50万吨/年磷矿石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2022年6月</w:t>
            </w:r>
          </w:p>
        </w:tc>
        <w:tc>
          <w:tcPr>
            <w:tcW w:w="10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23622.1</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9921.28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10866.17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贵州两岔河矿业开发有限公司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磷矿80万t/a采矿工程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2025年12月</w:t>
            </w:r>
          </w:p>
        </w:tc>
        <w:tc>
          <w:tcPr>
            <w:tcW w:w="10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37795.36</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15874.05</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17385.87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方圆化工有限公司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年产10万吨苯二胺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2024年6月</w:t>
            </w:r>
          </w:p>
        </w:tc>
        <w:tc>
          <w:tcPr>
            <w:tcW w:w="10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61164.08</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116823.40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16514.3</w:t>
            </w:r>
          </w:p>
        </w:tc>
      </w:tr>
    </w:tbl>
    <w:p>
      <w:pPr>
        <w:jc w:val="center"/>
        <w:rPr>
          <w:rFonts w:hint="eastAsia"/>
          <w:color w:val="auto"/>
          <w:lang w:val="en-US" w:eastAsia="zh-CN"/>
        </w:rPr>
      </w:pPr>
      <w:r>
        <w:rPr>
          <w:rFonts w:hint="eastAsia"/>
          <w:color w:val="auto"/>
          <w:lang w:val="en-US" w:eastAsia="zh-CN"/>
        </w:rPr>
        <w:t>表3-13 开发区拟入驻项目（磷系新材料）预测能耗、产值、增加值情况表</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78"/>
        <w:gridCol w:w="704"/>
        <w:gridCol w:w="816"/>
        <w:gridCol w:w="891"/>
        <w:gridCol w:w="891"/>
        <w:gridCol w:w="891"/>
        <w:gridCol w:w="891"/>
        <w:gridCol w:w="891"/>
        <w:gridCol w:w="891"/>
        <w:gridCol w:w="891"/>
        <w:gridCol w:w="891"/>
        <w:gridCol w:w="891"/>
        <w:gridCol w:w="891"/>
        <w:gridCol w:w="891"/>
        <w:gridCol w:w="891"/>
        <w:gridCol w:w="8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名称</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磷系新材料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2021年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2022年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2023年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2024年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2025年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2026年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2027年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2028年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2029年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2030年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2031年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2032年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2033年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2034年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计划能耗（等价值）（吨标煤）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5552.68</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84313.51</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241337.51</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438499.56</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654350.36</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653358.23</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627220.4</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612488.73</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589259.93</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587670.98</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565571.74</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529811.94</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506562.47</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499458.29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预计产值</w:t>
            </w:r>
          </w:p>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12995.14</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213634.88</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451135.44</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710643.64</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838148.93</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835786.72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830683.14</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768978.09</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755090.53</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751272.66</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714319.38</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684463.21</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670285.13</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659577.16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预计增加值</w:t>
            </w:r>
          </w:p>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5705.43</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63804.59</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129838.02</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236204.68</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281234.57</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280147.95</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278714.35</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258128.66</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253285.38</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251863.97</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241512.77</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229845.09</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224937.62</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220920.69</w:t>
            </w:r>
          </w:p>
        </w:tc>
      </w:tr>
    </w:tbl>
    <w:p>
      <w:pPr>
        <w:bidi w:val="0"/>
        <w:rPr>
          <w:rFonts w:hint="eastAsia"/>
          <w:color w:val="auto"/>
          <w:lang w:val="en-US" w:eastAsia="zh-CN"/>
        </w:rPr>
      </w:pPr>
    </w:p>
    <w:p>
      <w:pPr>
        <w:bidi w:val="0"/>
        <w:rPr>
          <w:rFonts w:hint="eastAsia"/>
          <w:color w:val="auto"/>
          <w:lang w:val="en-US" w:eastAsia="zh-CN"/>
        </w:rPr>
      </w:pPr>
    </w:p>
    <w:p>
      <w:pPr>
        <w:bidi w:val="0"/>
        <w:rPr>
          <w:rFonts w:hint="default"/>
          <w:color w:val="auto"/>
          <w:lang w:val="en-US" w:eastAsia="zh-CN"/>
        </w:rPr>
      </w:pPr>
      <w:r>
        <w:rPr>
          <w:rFonts w:hint="eastAsia"/>
          <w:color w:val="auto"/>
          <w:lang w:val="en-US" w:eastAsia="zh-CN"/>
        </w:rPr>
        <w:t>2、氯碱化工</w:t>
      </w:r>
    </w:p>
    <w:p>
      <w:pPr>
        <w:jc w:val="center"/>
        <w:rPr>
          <w:rFonts w:hint="eastAsia"/>
          <w:color w:val="auto"/>
          <w:lang w:val="en-US" w:eastAsia="zh-CN"/>
        </w:rPr>
      </w:pPr>
      <w:r>
        <w:rPr>
          <w:rFonts w:hint="eastAsia"/>
          <w:color w:val="auto"/>
          <w:lang w:val="en-US" w:eastAsia="zh-CN"/>
        </w:rPr>
        <w:t>表3-14 开发区拟入驻项目（氯碱化工）预测经营情况表</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50"/>
        <w:gridCol w:w="2484"/>
        <w:gridCol w:w="2373"/>
        <w:gridCol w:w="1596"/>
        <w:gridCol w:w="2039"/>
        <w:gridCol w:w="2263"/>
        <w:gridCol w:w="22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行业名称</w:t>
            </w:r>
          </w:p>
        </w:tc>
        <w:tc>
          <w:tcPr>
            <w:tcW w:w="8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企业名称</w:t>
            </w:r>
          </w:p>
        </w:tc>
        <w:tc>
          <w:tcPr>
            <w:tcW w:w="8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设计产能</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预计建成时间</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预计产值（万元）</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计划能耗（等价值）</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（吨标煤）</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预计增加值（万元）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氯碱化工</w:t>
            </w:r>
          </w:p>
        </w:tc>
        <w:tc>
          <w:tcPr>
            <w:tcW w:w="8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重庆国辰科技有限公司</w:t>
            </w:r>
          </w:p>
        </w:tc>
        <w:tc>
          <w:tcPr>
            <w:tcW w:w="8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年产30万吨氯碱项目</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2023年12月</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164505.54</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314205.59 </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49351.66</w:t>
            </w:r>
          </w:p>
        </w:tc>
      </w:tr>
    </w:tbl>
    <w:p>
      <w:pPr>
        <w:jc w:val="center"/>
        <w:rPr>
          <w:rFonts w:hint="eastAsia"/>
          <w:color w:val="auto"/>
          <w:lang w:val="en-US" w:eastAsia="zh-CN"/>
        </w:rPr>
      </w:pPr>
      <w:r>
        <w:rPr>
          <w:rFonts w:hint="eastAsia"/>
          <w:color w:val="auto"/>
          <w:lang w:val="en-US" w:eastAsia="zh-CN"/>
        </w:rPr>
        <w:t>表3-15 开发区拟入驻项目（氯碱化工）预测能耗、产值、增加值情况表</w:t>
      </w:r>
    </w:p>
    <w:tbl>
      <w:tblPr>
        <w:tblStyle w:val="11"/>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1"/>
        <w:gridCol w:w="722"/>
        <w:gridCol w:w="722"/>
        <w:gridCol w:w="722"/>
        <w:gridCol w:w="916"/>
        <w:gridCol w:w="916"/>
        <w:gridCol w:w="916"/>
        <w:gridCol w:w="916"/>
        <w:gridCol w:w="916"/>
        <w:gridCol w:w="916"/>
        <w:gridCol w:w="916"/>
        <w:gridCol w:w="916"/>
        <w:gridCol w:w="916"/>
        <w:gridCol w:w="916"/>
        <w:gridCol w:w="916"/>
        <w:gridCol w:w="9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5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名称</w:t>
            </w:r>
          </w:p>
        </w:tc>
        <w:tc>
          <w:tcPr>
            <w:tcW w:w="4649" w:type="pct"/>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氯碱化工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2021年</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2022年</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2023年</w:t>
            </w: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2024年</w:t>
            </w: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2025年</w:t>
            </w: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2026年</w:t>
            </w: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2027年</w:t>
            </w: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2028年</w:t>
            </w: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2029年</w:t>
            </w: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2030年</w:t>
            </w: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2031年</w:t>
            </w: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2032年</w:t>
            </w: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2033年</w:t>
            </w: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2034年</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计划能耗</w:t>
            </w:r>
          </w:p>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（等价值）</w:t>
            </w:r>
          </w:p>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（吨标煤）</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251364.47</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282785.03</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314205.59</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314205.59</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282785.03</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282785.03</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282785.03</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282785.03</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251364.47</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251364.47</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251364.47</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251364.47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预计产值</w:t>
            </w:r>
          </w:p>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（万元）</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131604.43</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148054.99</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164505.54</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164505.54</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148054.99</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148054.99</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148054.99</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148054.99</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131604.43</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131604.43</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131604.43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131604.43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预计增加值</w:t>
            </w:r>
          </w:p>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（万元）</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39481.33</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44416.49</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49351.66</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49351.66</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44416.49</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44416.49</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44416.49</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44416.49</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39481.33</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39481.33</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39481.33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39481.33</w:t>
            </w:r>
          </w:p>
        </w:tc>
      </w:tr>
    </w:tbl>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default"/>
          <w:color w:val="auto"/>
          <w:lang w:val="en-US" w:eastAsia="zh-CN"/>
        </w:rPr>
      </w:pPr>
      <w:r>
        <w:rPr>
          <w:rFonts w:hint="eastAsia"/>
          <w:color w:val="auto"/>
          <w:lang w:val="en-US" w:eastAsia="zh-CN"/>
        </w:rPr>
        <w:t>3、氟材料</w:t>
      </w:r>
    </w:p>
    <w:p>
      <w:pPr>
        <w:jc w:val="center"/>
        <w:rPr>
          <w:rFonts w:hint="eastAsia"/>
          <w:color w:val="auto"/>
          <w:lang w:val="en-US" w:eastAsia="zh-CN"/>
        </w:rPr>
      </w:pPr>
      <w:r>
        <w:rPr>
          <w:rFonts w:hint="eastAsia"/>
          <w:color w:val="auto"/>
          <w:lang w:val="en-US" w:eastAsia="zh-CN"/>
        </w:rPr>
        <w:t>表3-16 开发区拟入驻项目（氟材料）预测经营情况表</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44"/>
        <w:gridCol w:w="3250"/>
        <w:gridCol w:w="2498"/>
        <w:gridCol w:w="1443"/>
        <w:gridCol w:w="1843"/>
        <w:gridCol w:w="2045"/>
        <w:gridCol w:w="20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行业名称</w:t>
            </w:r>
          </w:p>
        </w:tc>
        <w:tc>
          <w:tcPr>
            <w:tcW w:w="1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企业名称</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设计产能</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预计建成时间</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预计产值（万元）</w:t>
            </w:r>
          </w:p>
        </w:tc>
        <w:tc>
          <w:tcPr>
            <w:tcW w:w="7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计划能耗（等价值）</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（吨标煤）</w:t>
            </w:r>
          </w:p>
        </w:tc>
        <w:tc>
          <w:tcPr>
            <w:tcW w:w="7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预计增加值（万元）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36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氟材料</w:t>
            </w:r>
          </w:p>
        </w:tc>
        <w:tc>
          <w:tcPr>
            <w:tcW w:w="11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贵州瓮福开磷氟硅新材料有限公司</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电子级氢氟酸项目</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2023年8月</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7268.88</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2980.24</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2107.98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11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无水氟化氢技改项目</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2022年6月</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63690.24</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26113</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18470.17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11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贵州磷化（集团）有限公司</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1万吨/年六氟磷酸锂项目</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2024年3月</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252465.49</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19200.00 </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49230.77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11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1万吨/年六氟磷酸锂项目</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2025年12月</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252465.49</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19200.00 </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49230.77</w:t>
            </w:r>
          </w:p>
        </w:tc>
      </w:tr>
    </w:tbl>
    <w:p>
      <w:pPr>
        <w:jc w:val="center"/>
        <w:rPr>
          <w:rFonts w:hint="eastAsia"/>
          <w:color w:val="auto"/>
          <w:lang w:val="en-US" w:eastAsia="zh-CN"/>
        </w:rPr>
      </w:pPr>
      <w:r>
        <w:rPr>
          <w:rFonts w:hint="eastAsia"/>
          <w:color w:val="auto"/>
          <w:lang w:val="en-US" w:eastAsia="zh-CN"/>
        </w:rPr>
        <w:t>表3-17 开发区拟入驻项目（氟材料）预测能耗、产值、增加值情况表</w:t>
      </w:r>
    </w:p>
    <w:tbl>
      <w:tblPr>
        <w:tblStyle w:val="11"/>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78"/>
        <w:gridCol w:w="712"/>
        <w:gridCol w:w="825"/>
        <w:gridCol w:w="825"/>
        <w:gridCol w:w="901"/>
        <w:gridCol w:w="901"/>
        <w:gridCol w:w="901"/>
        <w:gridCol w:w="901"/>
        <w:gridCol w:w="901"/>
        <w:gridCol w:w="901"/>
        <w:gridCol w:w="901"/>
        <w:gridCol w:w="901"/>
        <w:gridCol w:w="902"/>
        <w:gridCol w:w="902"/>
        <w:gridCol w:w="902"/>
        <w:gridCol w:w="9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4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名称</w:t>
            </w:r>
          </w:p>
        </w:tc>
        <w:tc>
          <w:tcPr>
            <w:tcW w:w="4654" w:type="pct"/>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氟材料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2021年</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2022年</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2023年</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2024年</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2025年</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2026年</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2027年</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2028年</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2029年</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2030年</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2031年</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2032年</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2033年</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2034年</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计划能耗</w:t>
            </w:r>
          </w:p>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（等价值）</w:t>
            </w:r>
          </w:p>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（吨标煤）</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7833.9</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19272.51</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40881.94</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45681.94</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64881.94</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64881.94</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62233.75</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60313.75</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58393.75</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58393.75</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55745.55</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53825.55</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51905.55</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51905.55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预计产值</w:t>
            </w:r>
          </w:p>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（万元）</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19107.07</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47006.13</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253939.22</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317055.59</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569521.08</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569521.08</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563062.07</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537815.52</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512568.97</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512568.97</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506109.96</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480863.41</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455616.86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455616.86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预计增加值</w:t>
            </w:r>
          </w:p>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（万元）</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5541.05</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13631.78</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55654.21</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67961.9</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117192.67</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117192.67</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115319.56</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110396.48</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105473.4</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105473.4</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103600.28</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98677.21</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93754.14</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93754.14</w:t>
            </w:r>
          </w:p>
        </w:tc>
      </w:tr>
    </w:tbl>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r>
        <w:rPr>
          <w:rFonts w:hint="eastAsia"/>
          <w:color w:val="auto"/>
          <w:lang w:val="en-US" w:eastAsia="zh-CN"/>
        </w:rPr>
        <w:t>4、钛材料</w:t>
      </w:r>
    </w:p>
    <w:p>
      <w:pPr>
        <w:bidi w:val="0"/>
        <w:jc w:val="center"/>
        <w:rPr>
          <w:rFonts w:hint="default"/>
          <w:color w:val="auto"/>
          <w:lang w:val="en-US" w:eastAsia="zh-CN"/>
        </w:rPr>
      </w:pPr>
      <w:r>
        <w:rPr>
          <w:rFonts w:hint="eastAsia"/>
          <w:color w:val="auto"/>
          <w:lang w:val="en-US" w:eastAsia="zh-CN"/>
        </w:rPr>
        <w:t>表3-18 开发区拟入驻项目（钛材料）预测经营情况表</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1"/>
        <w:gridCol w:w="2421"/>
        <w:gridCol w:w="3413"/>
        <w:gridCol w:w="1429"/>
        <w:gridCol w:w="1826"/>
        <w:gridCol w:w="2024"/>
        <w:gridCol w:w="20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行业名称</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企业名称</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设计产能</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预计建成时间</w:t>
            </w: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预计产值（万元）</w:t>
            </w:r>
          </w:p>
        </w:tc>
        <w:tc>
          <w:tcPr>
            <w:tcW w:w="7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计划能耗（等价值）</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（吨标煤）</w:t>
            </w:r>
          </w:p>
        </w:tc>
        <w:tc>
          <w:tcPr>
            <w:tcW w:w="7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预计增加值（万元）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钛材料</w:t>
            </w:r>
          </w:p>
        </w:tc>
        <w:tc>
          <w:tcPr>
            <w:tcW w:w="8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贵州胜泽威化工有限公司</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“钛-磷-硫-铁-钙”全资源循环项目</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2024年12月</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1067600</w:t>
            </w:r>
          </w:p>
        </w:tc>
        <w:tc>
          <w:tcPr>
            <w:tcW w:w="2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629884.00 </w:t>
            </w:r>
          </w:p>
        </w:tc>
        <w:tc>
          <w:tcPr>
            <w:tcW w:w="2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309604</w:t>
            </w:r>
          </w:p>
        </w:tc>
      </w:tr>
    </w:tbl>
    <w:p>
      <w:pPr>
        <w:jc w:val="center"/>
        <w:rPr>
          <w:rFonts w:hint="eastAsia"/>
          <w:color w:val="auto"/>
          <w:lang w:val="en-US" w:eastAsia="zh-CN"/>
        </w:rPr>
      </w:pPr>
      <w:r>
        <w:rPr>
          <w:rFonts w:hint="eastAsia"/>
          <w:color w:val="auto"/>
          <w:lang w:val="en-US" w:eastAsia="zh-CN"/>
        </w:rPr>
        <w:t>表3-19 开发区拟入驻项目（钛材料）预测能耗、产值、增加值情况表</w:t>
      </w:r>
    </w:p>
    <w:tbl>
      <w:tblPr>
        <w:tblStyle w:val="1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83"/>
        <w:gridCol w:w="704"/>
        <w:gridCol w:w="704"/>
        <w:gridCol w:w="741"/>
        <w:gridCol w:w="816"/>
        <w:gridCol w:w="816"/>
        <w:gridCol w:w="891"/>
        <w:gridCol w:w="891"/>
        <w:gridCol w:w="891"/>
        <w:gridCol w:w="891"/>
        <w:gridCol w:w="891"/>
        <w:gridCol w:w="891"/>
        <w:gridCol w:w="891"/>
        <w:gridCol w:w="891"/>
        <w:gridCol w:w="891"/>
        <w:gridCol w:w="8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名称</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钛材料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2021年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2022年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2023年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2024年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2025年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2026年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2027年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2028年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2029年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2030年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2031年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2032年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2033年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2034年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计划能耗（等价值）</w:t>
            </w:r>
          </w:p>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（吨标煤）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62988.4</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125976.8</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251953.6</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377930.4</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566895.6</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566895.6</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510206.04</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510206.04</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510206.04</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510206.04</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453516.48</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453516.48</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453516.48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预计产值</w:t>
            </w:r>
          </w:p>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106760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213520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427040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640560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960840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960840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864756</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864756</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864756</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864756</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768672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768672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768672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预计增加值</w:t>
            </w:r>
          </w:p>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30960.4</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61920.8</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123841.6</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185762.4</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278643.6</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278643.6</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250779.24</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250779.24</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250779.24</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250779.24</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222914.88</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222914.88</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222914.88</w:t>
            </w:r>
          </w:p>
        </w:tc>
      </w:tr>
    </w:tbl>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default"/>
          <w:color w:val="auto"/>
          <w:lang w:val="en-US" w:eastAsia="zh-CN"/>
        </w:rPr>
      </w:pPr>
      <w:r>
        <w:rPr>
          <w:rFonts w:hint="eastAsia"/>
          <w:color w:val="auto"/>
          <w:lang w:val="en-US" w:eastAsia="zh-CN"/>
        </w:rPr>
        <w:t>5、储能产业</w:t>
      </w:r>
    </w:p>
    <w:p>
      <w:pPr>
        <w:jc w:val="center"/>
        <w:rPr>
          <w:rFonts w:hint="eastAsia"/>
          <w:color w:val="auto"/>
          <w:lang w:val="en-US" w:eastAsia="zh-CN"/>
        </w:rPr>
      </w:pPr>
      <w:r>
        <w:rPr>
          <w:rFonts w:hint="eastAsia"/>
          <w:color w:val="auto"/>
          <w:lang w:val="en-US" w:eastAsia="zh-CN"/>
        </w:rPr>
        <w:t>表3-20 开发区拟入驻项目（储能产业）预测经营情况表</w:t>
      </w:r>
    </w:p>
    <w:tbl>
      <w:tblPr>
        <w:tblStyle w:val="11"/>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36"/>
        <w:gridCol w:w="2736"/>
        <w:gridCol w:w="3950"/>
        <w:gridCol w:w="1296"/>
        <w:gridCol w:w="1615"/>
        <w:gridCol w:w="1774"/>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0" w:type="auto"/>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行业名称</w:t>
            </w:r>
          </w:p>
        </w:tc>
        <w:tc>
          <w:tcPr>
            <w:tcW w:w="0" w:type="auto"/>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企业名称</w:t>
            </w:r>
          </w:p>
        </w:tc>
        <w:tc>
          <w:tcPr>
            <w:tcW w:w="0" w:type="auto"/>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设计产能</w:t>
            </w:r>
          </w:p>
        </w:tc>
        <w:tc>
          <w:tcPr>
            <w:tcW w:w="0" w:type="auto"/>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预计建成时间</w:t>
            </w:r>
          </w:p>
        </w:tc>
        <w:tc>
          <w:tcPr>
            <w:tcW w:w="0" w:type="auto"/>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预计产值（万元）</w:t>
            </w:r>
          </w:p>
        </w:tc>
        <w:tc>
          <w:tcPr>
            <w:tcW w:w="0" w:type="auto"/>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计划能耗（等价值）</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（吨标煤）</w:t>
            </w:r>
          </w:p>
        </w:tc>
        <w:tc>
          <w:tcPr>
            <w:tcW w:w="0" w:type="auto"/>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预计增加值（万元）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vMerge w:val="restart"/>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储能产业</w:t>
            </w:r>
          </w:p>
        </w:tc>
        <w:tc>
          <w:tcPr>
            <w:tcW w:w="0" w:type="auto"/>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贵州开磷集团矿肥有限责任公司</w:t>
            </w:r>
          </w:p>
        </w:tc>
        <w:tc>
          <w:tcPr>
            <w:tcW w:w="0" w:type="auto"/>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5万吨/年电池级磷酸铁项目</w:t>
            </w:r>
          </w:p>
        </w:tc>
        <w:tc>
          <w:tcPr>
            <w:tcW w:w="0" w:type="auto"/>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2026年12月</w:t>
            </w:r>
          </w:p>
        </w:tc>
        <w:tc>
          <w:tcPr>
            <w:tcW w:w="1615"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79565.23</w:t>
            </w:r>
          </w:p>
        </w:tc>
        <w:tc>
          <w:tcPr>
            <w:tcW w:w="1774"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43920.00 </w:t>
            </w:r>
          </w:p>
        </w:tc>
        <w:tc>
          <w:tcPr>
            <w:tcW w:w="1774"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23869.57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vMerge w:val="continue"/>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贵州艾德瑞智能科技有限公司</w:t>
            </w:r>
          </w:p>
        </w:tc>
        <w:tc>
          <w:tcPr>
            <w:tcW w:w="0" w:type="auto"/>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锂离子电池项目</w:t>
            </w:r>
          </w:p>
        </w:tc>
        <w:tc>
          <w:tcPr>
            <w:tcW w:w="0" w:type="auto"/>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2024年12月</w:t>
            </w:r>
          </w:p>
        </w:tc>
        <w:tc>
          <w:tcPr>
            <w:tcW w:w="1615"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5582.15</w:t>
            </w:r>
          </w:p>
        </w:tc>
        <w:tc>
          <w:tcPr>
            <w:tcW w:w="1774"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3014.36 </w:t>
            </w:r>
          </w:p>
        </w:tc>
        <w:tc>
          <w:tcPr>
            <w:tcW w:w="1774"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1674.65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0" w:type="auto"/>
            <w:vMerge w:val="continue"/>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vMerge w:val="restart"/>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贵州赛邦科技发展有限公司</w:t>
            </w:r>
          </w:p>
        </w:tc>
        <w:tc>
          <w:tcPr>
            <w:tcW w:w="0" w:type="auto"/>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一期10万吨/年27.5%双氧水项目</w:t>
            </w:r>
          </w:p>
        </w:tc>
        <w:tc>
          <w:tcPr>
            <w:tcW w:w="0" w:type="auto"/>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2022年6月</w:t>
            </w:r>
          </w:p>
        </w:tc>
        <w:tc>
          <w:tcPr>
            <w:tcW w:w="1615"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90189.48</w:t>
            </w:r>
          </w:p>
        </w:tc>
        <w:tc>
          <w:tcPr>
            <w:tcW w:w="1774"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 xml:space="preserve">18939.79 </w:t>
            </w:r>
          </w:p>
        </w:tc>
        <w:tc>
          <w:tcPr>
            <w:tcW w:w="1774"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27056.84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vMerge w:val="continue"/>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vMerge w:val="continue"/>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p>
        </w:tc>
        <w:tc>
          <w:tcPr>
            <w:tcW w:w="0" w:type="auto"/>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二期10万吨/年27.5%双氧水项目</w:t>
            </w:r>
          </w:p>
        </w:tc>
        <w:tc>
          <w:tcPr>
            <w:tcW w:w="0" w:type="auto"/>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2024年6月</w:t>
            </w:r>
          </w:p>
        </w:tc>
        <w:tc>
          <w:tcPr>
            <w:tcW w:w="1615"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90189.48</w:t>
            </w:r>
          </w:p>
        </w:tc>
        <w:tc>
          <w:tcPr>
            <w:tcW w:w="1774"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18939.79 </w:t>
            </w:r>
          </w:p>
        </w:tc>
        <w:tc>
          <w:tcPr>
            <w:tcW w:w="1774"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27056.84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vMerge w:val="continue"/>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vMerge w:val="restart"/>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贵州安达科技能源股份有限公司</w:t>
            </w:r>
          </w:p>
        </w:tc>
        <w:tc>
          <w:tcPr>
            <w:tcW w:w="0" w:type="auto"/>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5万吨/年磷酸铁锂及配套建设项目</w:t>
            </w:r>
          </w:p>
        </w:tc>
        <w:tc>
          <w:tcPr>
            <w:tcW w:w="0" w:type="auto"/>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2022年6月</w:t>
            </w:r>
          </w:p>
        </w:tc>
        <w:tc>
          <w:tcPr>
            <w:tcW w:w="1615"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811135.83</w:t>
            </w:r>
          </w:p>
        </w:tc>
        <w:tc>
          <w:tcPr>
            <w:tcW w:w="1774"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55817.5</w:t>
            </w:r>
          </w:p>
        </w:tc>
        <w:tc>
          <w:tcPr>
            <w:tcW w:w="1774"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146004.45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vMerge w:val="continue"/>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vMerge w:val="continue"/>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p>
        </w:tc>
        <w:tc>
          <w:tcPr>
            <w:tcW w:w="0" w:type="auto"/>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7万吨/年磷酸铁锂项目</w:t>
            </w:r>
          </w:p>
        </w:tc>
        <w:tc>
          <w:tcPr>
            <w:tcW w:w="0" w:type="auto"/>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2023年12月</w:t>
            </w:r>
          </w:p>
        </w:tc>
        <w:tc>
          <w:tcPr>
            <w:tcW w:w="1615"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1135590.17</w:t>
            </w:r>
          </w:p>
        </w:tc>
        <w:tc>
          <w:tcPr>
            <w:tcW w:w="1774"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78144.5</w:t>
            </w:r>
          </w:p>
        </w:tc>
        <w:tc>
          <w:tcPr>
            <w:tcW w:w="1774"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204406.23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vMerge w:val="continue"/>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vMerge w:val="continue"/>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p>
        </w:tc>
        <w:tc>
          <w:tcPr>
            <w:tcW w:w="0" w:type="auto"/>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7万吨/年磷酸铁锂及配套建设项目</w:t>
            </w:r>
          </w:p>
        </w:tc>
        <w:tc>
          <w:tcPr>
            <w:tcW w:w="0" w:type="auto"/>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2024年12月</w:t>
            </w:r>
          </w:p>
        </w:tc>
        <w:tc>
          <w:tcPr>
            <w:tcW w:w="1615"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1135590.17</w:t>
            </w:r>
          </w:p>
        </w:tc>
        <w:tc>
          <w:tcPr>
            <w:tcW w:w="1774"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78144.5</w:t>
            </w:r>
          </w:p>
        </w:tc>
        <w:tc>
          <w:tcPr>
            <w:tcW w:w="1774"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204406.23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vMerge w:val="continue"/>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vMerge w:val="continue"/>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p>
        </w:tc>
        <w:tc>
          <w:tcPr>
            <w:tcW w:w="0" w:type="auto"/>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5万吨/年磷酸铁锂及配套建设项目</w:t>
            </w:r>
          </w:p>
        </w:tc>
        <w:tc>
          <w:tcPr>
            <w:tcW w:w="0" w:type="auto"/>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2025年12月</w:t>
            </w:r>
          </w:p>
        </w:tc>
        <w:tc>
          <w:tcPr>
            <w:tcW w:w="1615"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811135.83</w:t>
            </w:r>
          </w:p>
        </w:tc>
        <w:tc>
          <w:tcPr>
            <w:tcW w:w="1774"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55817.5</w:t>
            </w:r>
          </w:p>
        </w:tc>
        <w:tc>
          <w:tcPr>
            <w:tcW w:w="1774"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146004.45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vMerge w:val="continue"/>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vMerge w:val="continue"/>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p>
        </w:tc>
        <w:tc>
          <w:tcPr>
            <w:tcW w:w="0" w:type="auto"/>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20万吨/年磷酸铁锂及配套建设项目</w:t>
            </w:r>
          </w:p>
        </w:tc>
        <w:tc>
          <w:tcPr>
            <w:tcW w:w="0" w:type="auto"/>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2026年12月</w:t>
            </w:r>
          </w:p>
        </w:tc>
        <w:tc>
          <w:tcPr>
            <w:tcW w:w="1615"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3244543.28</w:t>
            </w:r>
          </w:p>
        </w:tc>
        <w:tc>
          <w:tcPr>
            <w:tcW w:w="1774"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223270</w:t>
            </w:r>
          </w:p>
        </w:tc>
        <w:tc>
          <w:tcPr>
            <w:tcW w:w="1774"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584017.79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vMerge w:val="continue"/>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vMerge w:val="restart"/>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中伟新材料股份有限公司</w:t>
            </w:r>
          </w:p>
        </w:tc>
        <w:tc>
          <w:tcPr>
            <w:tcW w:w="0" w:type="auto"/>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一期20万吨/年磷酸铁项目</w:t>
            </w:r>
          </w:p>
        </w:tc>
        <w:tc>
          <w:tcPr>
            <w:tcW w:w="0" w:type="auto"/>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2023年12月</w:t>
            </w:r>
          </w:p>
        </w:tc>
        <w:tc>
          <w:tcPr>
            <w:tcW w:w="1615"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332703.3</w:t>
            </w:r>
          </w:p>
        </w:tc>
        <w:tc>
          <w:tcPr>
            <w:tcW w:w="1774"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181656.00 </w:t>
            </w:r>
          </w:p>
        </w:tc>
        <w:tc>
          <w:tcPr>
            <w:tcW w:w="1774"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99810.99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vMerge w:val="continue"/>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vMerge w:val="continue"/>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p>
        </w:tc>
        <w:tc>
          <w:tcPr>
            <w:tcW w:w="0" w:type="auto"/>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二期80万吨/年磷酸铁锂及磷酸铁项目</w:t>
            </w:r>
          </w:p>
        </w:tc>
        <w:tc>
          <w:tcPr>
            <w:tcW w:w="0" w:type="auto"/>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2029年12月</w:t>
            </w:r>
          </w:p>
        </w:tc>
        <w:tc>
          <w:tcPr>
            <w:tcW w:w="1615"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1330813.2</w:t>
            </w:r>
          </w:p>
        </w:tc>
        <w:tc>
          <w:tcPr>
            <w:tcW w:w="1774"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726624.00 </w:t>
            </w:r>
          </w:p>
        </w:tc>
        <w:tc>
          <w:tcPr>
            <w:tcW w:w="1774"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399243.96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vMerge w:val="continue"/>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贵州磷化（集团）有限公司</w:t>
            </w:r>
          </w:p>
        </w:tc>
        <w:tc>
          <w:tcPr>
            <w:tcW w:w="0" w:type="auto"/>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10万吨/年磷酸铁锂及50万吨/年磷酸铁项目</w:t>
            </w:r>
          </w:p>
        </w:tc>
        <w:tc>
          <w:tcPr>
            <w:tcW w:w="0" w:type="auto"/>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2027年12月</w:t>
            </w:r>
          </w:p>
        </w:tc>
        <w:tc>
          <w:tcPr>
            <w:tcW w:w="1615"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2426271.13</w:t>
            </w:r>
          </w:p>
        </w:tc>
        <w:tc>
          <w:tcPr>
            <w:tcW w:w="1774"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550835.00 </w:t>
            </w:r>
          </w:p>
        </w:tc>
        <w:tc>
          <w:tcPr>
            <w:tcW w:w="1774"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530704.55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vMerge w:val="continue"/>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vMerge w:val="restart"/>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湖南邦盛实业控股集团有限公司</w:t>
            </w:r>
          </w:p>
        </w:tc>
        <w:tc>
          <w:tcPr>
            <w:tcW w:w="0" w:type="auto"/>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10万吨/年磷酸铁锂和25万吨磷酸铁项目</w:t>
            </w:r>
          </w:p>
        </w:tc>
        <w:tc>
          <w:tcPr>
            <w:tcW w:w="0" w:type="auto"/>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2023年12月</w:t>
            </w:r>
          </w:p>
        </w:tc>
        <w:tc>
          <w:tcPr>
            <w:tcW w:w="1615"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2013159.93</w:t>
            </w:r>
          </w:p>
        </w:tc>
        <w:tc>
          <w:tcPr>
            <w:tcW w:w="1774"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331235.00 </w:t>
            </w:r>
          </w:p>
        </w:tc>
        <w:tc>
          <w:tcPr>
            <w:tcW w:w="1774"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414008.89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vMerge w:val="continue"/>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vMerge w:val="continue"/>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p>
        </w:tc>
        <w:tc>
          <w:tcPr>
            <w:tcW w:w="0" w:type="auto"/>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10万吨/年磷酸铁锂和20万吨磷酸铁项目</w:t>
            </w:r>
          </w:p>
        </w:tc>
        <w:tc>
          <w:tcPr>
            <w:tcW w:w="0" w:type="auto"/>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2028年12月</w:t>
            </w:r>
          </w:p>
        </w:tc>
        <w:tc>
          <w:tcPr>
            <w:tcW w:w="1615"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1930537.69</w:t>
            </w:r>
          </w:p>
        </w:tc>
        <w:tc>
          <w:tcPr>
            <w:tcW w:w="1774"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287315.00 </w:t>
            </w:r>
          </w:p>
        </w:tc>
        <w:tc>
          <w:tcPr>
            <w:tcW w:w="1774"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387487.15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vMerge w:val="continue"/>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vMerge w:val="continue"/>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p>
        </w:tc>
        <w:tc>
          <w:tcPr>
            <w:tcW w:w="0" w:type="auto"/>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30万吨/年磷酸铁锂和45万吨磷酸铁项目</w:t>
            </w:r>
          </w:p>
        </w:tc>
        <w:tc>
          <w:tcPr>
            <w:tcW w:w="0" w:type="auto"/>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2030年12月</w:t>
            </w:r>
          </w:p>
        </w:tc>
        <w:tc>
          <w:tcPr>
            <w:tcW w:w="1615"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5543746.36</w:t>
            </w:r>
          </w:p>
        </w:tc>
        <w:tc>
          <w:tcPr>
            <w:tcW w:w="1774"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730185.00 </w:t>
            </w:r>
          </w:p>
        </w:tc>
        <w:tc>
          <w:tcPr>
            <w:tcW w:w="1774"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1090852.77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vMerge w:val="continue"/>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vMerge w:val="restart"/>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湖南中科电气股份有限公司</w:t>
            </w:r>
          </w:p>
        </w:tc>
        <w:tc>
          <w:tcPr>
            <w:tcW w:w="0" w:type="auto"/>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5万吨负极材料一体化项目</w:t>
            </w:r>
          </w:p>
        </w:tc>
        <w:tc>
          <w:tcPr>
            <w:tcW w:w="0" w:type="auto"/>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2024年6月</w:t>
            </w:r>
          </w:p>
        </w:tc>
        <w:tc>
          <w:tcPr>
            <w:tcW w:w="1615"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294123.68</w:t>
            </w:r>
          </w:p>
        </w:tc>
        <w:tc>
          <w:tcPr>
            <w:tcW w:w="1774"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129414.42 </w:t>
            </w:r>
          </w:p>
        </w:tc>
        <w:tc>
          <w:tcPr>
            <w:tcW w:w="1774"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141179.37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vMerge w:val="continue"/>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vMerge w:val="continue"/>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p>
        </w:tc>
        <w:tc>
          <w:tcPr>
            <w:tcW w:w="0" w:type="auto"/>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5万吨负极材料一体化项目</w:t>
            </w:r>
          </w:p>
        </w:tc>
        <w:tc>
          <w:tcPr>
            <w:tcW w:w="0" w:type="auto"/>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2026年6月</w:t>
            </w:r>
          </w:p>
        </w:tc>
        <w:tc>
          <w:tcPr>
            <w:tcW w:w="1615"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294123.68</w:t>
            </w:r>
          </w:p>
        </w:tc>
        <w:tc>
          <w:tcPr>
            <w:tcW w:w="1774"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129414.42 </w:t>
            </w:r>
          </w:p>
        </w:tc>
        <w:tc>
          <w:tcPr>
            <w:tcW w:w="1774"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141179.37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0" w:type="auto"/>
            <w:vMerge w:val="continue"/>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上海见和投资管理有限公司</w:t>
            </w:r>
          </w:p>
        </w:tc>
        <w:tc>
          <w:tcPr>
            <w:tcW w:w="0" w:type="auto"/>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1万吨/年废SCR催化剂及磷酸铁锂废物的处置项目</w:t>
            </w:r>
          </w:p>
        </w:tc>
        <w:tc>
          <w:tcPr>
            <w:tcW w:w="0" w:type="auto"/>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2023年12月</w:t>
            </w:r>
          </w:p>
        </w:tc>
        <w:tc>
          <w:tcPr>
            <w:tcW w:w="1615"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6419.23</w:t>
            </w:r>
          </w:p>
        </w:tc>
        <w:tc>
          <w:tcPr>
            <w:tcW w:w="1774"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11618.81 </w:t>
            </w:r>
          </w:p>
        </w:tc>
        <w:tc>
          <w:tcPr>
            <w:tcW w:w="1774"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1925.77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vMerge w:val="continue"/>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vMerge w:val="restart"/>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宁德时代</w:t>
            </w:r>
          </w:p>
        </w:tc>
        <w:tc>
          <w:tcPr>
            <w:tcW w:w="0" w:type="auto"/>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2万吨/年LIFSI项目等</w:t>
            </w:r>
          </w:p>
        </w:tc>
        <w:tc>
          <w:tcPr>
            <w:tcW w:w="0" w:type="auto"/>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2023年6月</w:t>
            </w:r>
          </w:p>
        </w:tc>
        <w:tc>
          <w:tcPr>
            <w:tcW w:w="1615"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137412.78</w:t>
            </w:r>
          </w:p>
        </w:tc>
        <w:tc>
          <w:tcPr>
            <w:tcW w:w="1774"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75577.03 </w:t>
            </w:r>
          </w:p>
        </w:tc>
        <w:tc>
          <w:tcPr>
            <w:tcW w:w="1774"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41223.83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vMerge w:val="continue"/>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vMerge w:val="continue"/>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p>
        </w:tc>
        <w:tc>
          <w:tcPr>
            <w:tcW w:w="0" w:type="auto"/>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3万吨/年LIFSI项目等</w:t>
            </w:r>
          </w:p>
        </w:tc>
        <w:tc>
          <w:tcPr>
            <w:tcW w:w="0" w:type="auto"/>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2024年12月</w:t>
            </w:r>
          </w:p>
        </w:tc>
        <w:tc>
          <w:tcPr>
            <w:tcW w:w="1615"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206119.16</w:t>
            </w:r>
          </w:p>
        </w:tc>
        <w:tc>
          <w:tcPr>
            <w:tcW w:w="1774"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113365.54 </w:t>
            </w:r>
          </w:p>
        </w:tc>
        <w:tc>
          <w:tcPr>
            <w:tcW w:w="1774"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61835.75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vMerge w:val="continue"/>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安徽省司尔特肥业股份有限公司</w:t>
            </w:r>
          </w:p>
        </w:tc>
        <w:tc>
          <w:tcPr>
            <w:tcW w:w="0" w:type="auto"/>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新能源材料系列项目</w:t>
            </w:r>
          </w:p>
        </w:tc>
        <w:tc>
          <w:tcPr>
            <w:tcW w:w="0" w:type="auto"/>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2025年6月</w:t>
            </w:r>
          </w:p>
        </w:tc>
        <w:tc>
          <w:tcPr>
            <w:tcW w:w="1615"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132924.15</w:t>
            </w:r>
          </w:p>
        </w:tc>
        <w:tc>
          <w:tcPr>
            <w:tcW w:w="1774"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89723.80 </w:t>
            </w:r>
          </w:p>
        </w:tc>
        <w:tc>
          <w:tcPr>
            <w:tcW w:w="1774"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39877.25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0" w:type="auto"/>
            <w:vMerge w:val="continue"/>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贵州胜泽威化工有限公司</w:t>
            </w:r>
          </w:p>
        </w:tc>
        <w:tc>
          <w:tcPr>
            <w:tcW w:w="0" w:type="auto"/>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20万吨年电池级磷酸铁副产18万吨年硫酸铵项目</w:t>
            </w:r>
          </w:p>
        </w:tc>
        <w:tc>
          <w:tcPr>
            <w:tcW w:w="0" w:type="auto"/>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2023年6月</w:t>
            </w:r>
          </w:p>
        </w:tc>
        <w:tc>
          <w:tcPr>
            <w:tcW w:w="1615"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252629.55</w:t>
            </w:r>
          </w:p>
        </w:tc>
        <w:tc>
          <w:tcPr>
            <w:tcW w:w="1774"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111157.00 </w:t>
            </w:r>
          </w:p>
        </w:tc>
        <w:tc>
          <w:tcPr>
            <w:tcW w:w="1774" w:type="dxa"/>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88420.34</w:t>
            </w:r>
          </w:p>
        </w:tc>
      </w:tr>
    </w:tbl>
    <w:p>
      <w:pPr>
        <w:jc w:val="center"/>
        <w:rPr>
          <w:rFonts w:hint="eastAsia"/>
          <w:color w:val="auto"/>
          <w:lang w:val="en-US" w:eastAsia="zh-CN"/>
        </w:rPr>
      </w:pPr>
    </w:p>
    <w:p>
      <w:pPr>
        <w:jc w:val="center"/>
        <w:rPr>
          <w:rFonts w:hint="eastAsia"/>
          <w:color w:val="auto"/>
          <w:lang w:val="en-US" w:eastAsia="zh-CN"/>
        </w:rPr>
      </w:pPr>
      <w:r>
        <w:rPr>
          <w:rFonts w:hint="eastAsia"/>
          <w:color w:val="auto"/>
          <w:lang w:val="en-US" w:eastAsia="zh-CN"/>
        </w:rPr>
        <w:t>表3-21 开发区拟入驻项目（储能产业）预测能耗、产值、增加值情况表</w:t>
      </w:r>
    </w:p>
    <w:tbl>
      <w:tblPr>
        <w:tblStyle w:val="11"/>
        <w:tblW w:w="1580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6"/>
        <w:gridCol w:w="704"/>
        <w:gridCol w:w="891"/>
        <w:gridCol w:w="966"/>
        <w:gridCol w:w="966"/>
        <w:gridCol w:w="966"/>
        <w:gridCol w:w="966"/>
        <w:gridCol w:w="1041"/>
        <w:gridCol w:w="1041"/>
        <w:gridCol w:w="1041"/>
        <w:gridCol w:w="1041"/>
        <w:gridCol w:w="966"/>
        <w:gridCol w:w="1041"/>
        <w:gridCol w:w="1041"/>
        <w:gridCol w:w="1041"/>
        <w:gridCol w:w="11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6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名称</w:t>
            </w:r>
          </w:p>
        </w:tc>
        <w:tc>
          <w:tcPr>
            <w:tcW w:w="14841"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储能产业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2021年</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2022年</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2023年</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2024年</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2025年</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2026年</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2027年</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2028年</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2029年</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2030年</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2031年</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2032年</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2033年</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2034年</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计划能耗</w:t>
            </w:r>
          </w:p>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（等价值）</w:t>
            </w:r>
          </w:p>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（吨标煤）</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52494.06</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266194.52</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751002.92</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1146600.24</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1506387.55</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1872915.83</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2438267.02</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2697256.06</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3047996.51</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2889482.46</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2830675.63</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2778190.82</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2713331.18</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2584024.53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预计产值</w:t>
            </w:r>
          </w:p>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（万元）</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478145.22</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1551407.85</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4166065.82</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6637776.11</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9051548.65</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10805719.83</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13581830.57</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14796999.12</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17061284.35</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15900526</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15615626.74</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15320745.71</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15141294.14</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14202285.63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预计增加值</w:t>
            </w:r>
          </w:p>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（万元）</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94775.42</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329731.12</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927023.28</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1460979.92</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1971294.1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2378611.83</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2970369.74</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3227436.23</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3686573.61</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3450248.8</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3387737.18</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3319660.21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3274585</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3081894.33</w:t>
            </w:r>
          </w:p>
        </w:tc>
      </w:tr>
    </w:tbl>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default"/>
          <w:color w:val="auto"/>
          <w:lang w:val="en-US" w:eastAsia="zh-CN"/>
        </w:rPr>
      </w:pPr>
      <w:r>
        <w:rPr>
          <w:rFonts w:hint="eastAsia"/>
          <w:color w:val="auto"/>
          <w:lang w:val="en-US" w:eastAsia="zh-CN"/>
        </w:rPr>
        <w:t>6、新型建材</w:t>
      </w:r>
    </w:p>
    <w:p>
      <w:pPr>
        <w:jc w:val="center"/>
        <w:rPr>
          <w:rFonts w:hint="eastAsia"/>
          <w:color w:val="auto"/>
          <w:lang w:val="en-US" w:eastAsia="zh-CN"/>
        </w:rPr>
      </w:pPr>
      <w:r>
        <w:rPr>
          <w:rFonts w:hint="eastAsia"/>
          <w:color w:val="auto"/>
          <w:lang w:val="en-US" w:eastAsia="zh-CN"/>
        </w:rPr>
        <w:t>表3-22 开发区拟入驻项目（新型建材）预测经营情况表</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6"/>
        <w:gridCol w:w="2589"/>
        <w:gridCol w:w="6136"/>
        <w:gridCol w:w="1296"/>
        <w:gridCol w:w="936"/>
        <w:gridCol w:w="1101"/>
        <w:gridCol w:w="10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行业名称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企业名称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设计产能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预计建成时间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预计产值</w:t>
            </w:r>
          </w:p>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计划能耗</w:t>
            </w:r>
          </w:p>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（等价值）</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（吨标煤）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预计增加值</w:t>
            </w:r>
          </w:p>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新型建材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贵州开磷集团矿肥有限责任公司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磷石膏制硫酸联产水泥项目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2023年8月</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3045.79</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10964.83 </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1005.11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贵州力均石膏建材有限公司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40万吨磷石膏综合利用项目二期建设工程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2025年12月</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26315.79</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16666.67</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贵州庆瑞磷科技环保材料有限公司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60万吨/年建筑用石膏粉二期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2026年12月</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39473.68</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25000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贵州星龙耀新型建材有限公司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年产200万吨/年建筑垃圾及磷石膏综合利用项目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2023年12月</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375.81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1352.92 </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124.02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江苏一夫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一期60万吨/年Ⅱ型无水磷石膏生产线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2023年12月</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21967.56</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48328.64 </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7249.29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二期100万吨/年Ⅱ型无水磷石膏生产线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2027年12月</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32486.59</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71470.49 </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10720.57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三期150万吨/年Ⅱ型无水磷石膏生产线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2029年12月</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48729.88</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107205.74 </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16080.86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贵州胜威凯洋化工有限公司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开阳县50万吨/年磷石膏资源综合利用制硫酸联产新材料项目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2023年1月</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16129.03</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74441.69</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4838.71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贵州好百年新材料科技有限公司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开阳县年产220万立方米磷石膏砌块和100万平方米磷石膏挤出成型板材生产线建设项目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2026年12月</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39473.68</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25000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贵州汇阳新材料科技有限公司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磷石膏再利用生产2*30万吨/年建筑石膏粉项目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2023年12月</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10127</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32455</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3945</w:t>
            </w:r>
          </w:p>
        </w:tc>
      </w:tr>
    </w:tbl>
    <w:p>
      <w:pPr>
        <w:jc w:val="center"/>
        <w:rPr>
          <w:rFonts w:hint="eastAsia"/>
          <w:color w:val="auto"/>
          <w:lang w:val="en-US" w:eastAsia="zh-CN"/>
        </w:rPr>
      </w:pPr>
    </w:p>
    <w:p>
      <w:pPr>
        <w:jc w:val="center"/>
        <w:rPr>
          <w:rFonts w:hint="eastAsia"/>
          <w:color w:val="auto"/>
          <w:lang w:val="en-US" w:eastAsia="zh-CN"/>
        </w:rPr>
      </w:pPr>
    </w:p>
    <w:p>
      <w:pPr>
        <w:jc w:val="center"/>
        <w:rPr>
          <w:rFonts w:hint="eastAsia"/>
          <w:color w:val="auto"/>
          <w:lang w:val="en-US" w:eastAsia="zh-CN"/>
        </w:rPr>
      </w:pPr>
      <w:r>
        <w:rPr>
          <w:rFonts w:hint="eastAsia"/>
          <w:color w:val="auto"/>
          <w:lang w:val="en-US" w:eastAsia="zh-CN"/>
        </w:rPr>
        <w:t>表3-23 开发区拟入驻项目（新型建材）预测能耗、产值、增加值情况表</w:t>
      </w:r>
    </w:p>
    <w:tbl>
      <w:tblPr>
        <w:tblStyle w:val="11"/>
        <w:tblW w:w="5021" w:type="pct"/>
        <w:tblInd w:w="-6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24"/>
        <w:gridCol w:w="704"/>
        <w:gridCol w:w="704"/>
        <w:gridCol w:w="830"/>
        <w:gridCol w:w="891"/>
        <w:gridCol w:w="910"/>
        <w:gridCol w:w="910"/>
        <w:gridCol w:w="910"/>
        <w:gridCol w:w="910"/>
        <w:gridCol w:w="910"/>
        <w:gridCol w:w="910"/>
        <w:gridCol w:w="911"/>
        <w:gridCol w:w="911"/>
        <w:gridCol w:w="911"/>
        <w:gridCol w:w="911"/>
        <w:gridCol w:w="9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名称</w:t>
            </w:r>
          </w:p>
        </w:tc>
        <w:tc>
          <w:tcPr>
            <w:tcW w:w="4639" w:type="pct"/>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新型建材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6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2021年</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2022年</w:t>
            </w:r>
          </w:p>
        </w:tc>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2023年</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2024年</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2025年</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2026年</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2027年</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2028年</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2029年</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2030年</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2031年</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2032年</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2033年</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2034年</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计划能耗</w:t>
            </w:r>
          </w:p>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（等价值）</w:t>
            </w:r>
          </w:p>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（吨标煤）</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67261.67</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116706.04</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154497.08</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184271.56</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284300.9</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309275.52</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376890.28</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375223.61</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363076.56</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356024.73</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336862.42</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333862.42</w:t>
            </w: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321715.37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预计产值</w:t>
            </w:r>
          </w:p>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（万元）</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22844.16</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37933.32</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59551.88</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82455.75</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184143.72</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197130.2</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228234.2</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225602.62</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214459.22</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212864.32</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204703.18</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199966.34</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188822.94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预计增加值</w:t>
            </w:r>
          </w:p>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（万元）</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7345.02</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12529.22</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17905.39</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23621.56</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46125.96</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50450.21</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60666.28</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60166.28</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57594.22</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57106.62</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54365.19</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53465.19</w:t>
            </w: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50893.14</w:t>
            </w:r>
          </w:p>
        </w:tc>
      </w:tr>
    </w:tbl>
    <w:p>
      <w:pPr>
        <w:bidi w:val="0"/>
        <w:rPr>
          <w:rFonts w:hint="default"/>
          <w:color w:val="auto"/>
          <w:lang w:val="en-US" w:eastAsia="zh-CN"/>
        </w:rPr>
      </w:pPr>
      <w:r>
        <w:rPr>
          <w:rFonts w:hint="eastAsia"/>
          <w:color w:val="auto"/>
          <w:lang w:val="en-US" w:eastAsia="zh-CN"/>
        </w:rPr>
        <w:t>7、特色农产品</w:t>
      </w:r>
    </w:p>
    <w:p>
      <w:pPr>
        <w:jc w:val="center"/>
        <w:rPr>
          <w:rFonts w:hint="eastAsia"/>
          <w:color w:val="auto"/>
          <w:lang w:val="en-US" w:eastAsia="zh-CN"/>
        </w:rPr>
      </w:pPr>
      <w:r>
        <w:rPr>
          <w:rFonts w:hint="eastAsia"/>
          <w:color w:val="auto"/>
          <w:lang w:val="en-US" w:eastAsia="zh-CN"/>
        </w:rPr>
        <w:t>表3-24 开发区拟入驻项目（特色农产品）预测经营情况表</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05"/>
        <w:gridCol w:w="2566"/>
        <w:gridCol w:w="3247"/>
        <w:gridCol w:w="1398"/>
        <w:gridCol w:w="1787"/>
        <w:gridCol w:w="1982"/>
        <w:gridCol w:w="19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行业名称</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企业名称</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设计产能</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预计建成时间</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预计产值（万元）</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计划能耗（等价值）</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（吨标煤）</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预计增加值（万元）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特色农产品</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正大集团</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100万头生猪全产业链项目</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2023年6月</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34813.39</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8007.08 </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8703.35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贵州中山魔芋实业有限公司</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年产2400吨魔芋深加工产业化项目</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2024年7月</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4217.57</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970.04 </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759.16</w:t>
            </w:r>
          </w:p>
        </w:tc>
      </w:tr>
    </w:tbl>
    <w:p>
      <w:pPr>
        <w:jc w:val="center"/>
        <w:rPr>
          <w:rFonts w:hint="eastAsia"/>
          <w:color w:val="auto"/>
          <w:lang w:val="en-US" w:eastAsia="zh-CN"/>
        </w:rPr>
      </w:pPr>
      <w:r>
        <w:rPr>
          <w:rFonts w:hint="eastAsia"/>
          <w:color w:val="auto"/>
          <w:lang w:val="en-US" w:eastAsia="zh-CN"/>
        </w:rPr>
        <w:t>表3-25 开发区拟入驻项目（特色农产品）预测能耗、产值、增加值情况表</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40"/>
        <w:gridCol w:w="704"/>
        <w:gridCol w:w="704"/>
        <w:gridCol w:w="741"/>
        <w:gridCol w:w="816"/>
        <w:gridCol w:w="816"/>
        <w:gridCol w:w="816"/>
        <w:gridCol w:w="816"/>
        <w:gridCol w:w="816"/>
        <w:gridCol w:w="816"/>
        <w:gridCol w:w="816"/>
        <w:gridCol w:w="816"/>
        <w:gridCol w:w="816"/>
        <w:gridCol w:w="816"/>
        <w:gridCol w:w="816"/>
        <w:gridCol w:w="8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名称</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特色农产品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2021年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2022年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2023年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2024年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2025年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2026年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2027年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2028年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2029年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2030年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2031年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2032年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2033年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2034年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计划能耗（等价值）（吨标煤）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4003.54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8411.26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8977.12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8977.12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8977.12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8176.41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8079.41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8079.41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8079.41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7278.7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7181.69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7181.69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7181.69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预计产值（万元）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17406.7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36570.71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39030.96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39030.96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39030.96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35549.62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35127.86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35127.86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35127.86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31646.52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31224.77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31224.77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31224.77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预计增加值（万元）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4351.68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9019.67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9462.51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9462.51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9462.51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8592.18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8516.26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8516.26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8516.26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7645.92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7570.01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7570.01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7570.01</w:t>
            </w:r>
          </w:p>
        </w:tc>
      </w:tr>
    </w:tbl>
    <w:p>
      <w:pPr>
        <w:bidi w:val="0"/>
        <w:rPr>
          <w:rFonts w:hint="default"/>
          <w:color w:val="auto"/>
          <w:lang w:val="en-US" w:eastAsia="zh-CN"/>
        </w:rPr>
      </w:pPr>
      <w:r>
        <w:rPr>
          <w:rFonts w:hint="eastAsia"/>
          <w:color w:val="auto"/>
          <w:lang w:val="en-US" w:eastAsia="zh-CN"/>
        </w:rPr>
        <w:t>8、其他</w:t>
      </w:r>
    </w:p>
    <w:p>
      <w:pPr>
        <w:jc w:val="center"/>
        <w:rPr>
          <w:rFonts w:hint="eastAsia"/>
          <w:color w:val="auto"/>
          <w:lang w:val="en-US" w:eastAsia="zh-CN"/>
        </w:rPr>
      </w:pPr>
      <w:r>
        <w:rPr>
          <w:rFonts w:hint="eastAsia"/>
          <w:color w:val="auto"/>
          <w:lang w:val="en-US" w:eastAsia="zh-CN"/>
        </w:rPr>
        <w:t>表3-26 开发区拟入驻项目（其他）预测经营情况表</w:t>
      </w:r>
    </w:p>
    <w:tbl>
      <w:tblPr>
        <w:tblStyle w:val="11"/>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03"/>
        <w:gridCol w:w="2742"/>
        <w:gridCol w:w="4867"/>
        <w:gridCol w:w="1390"/>
        <w:gridCol w:w="1004"/>
        <w:gridCol w:w="1968"/>
        <w:gridCol w:w="11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行业名称</w:t>
            </w:r>
          </w:p>
        </w:tc>
        <w:tc>
          <w:tcPr>
            <w:tcW w:w="9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企业名称</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设计产能</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预计建成时间</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预计产值</w:t>
            </w:r>
          </w:p>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（万元）</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计划能耗（等价值）</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（吨标煤）</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预计增加值</w:t>
            </w:r>
          </w:p>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其他</w:t>
            </w:r>
          </w:p>
        </w:tc>
        <w:tc>
          <w:tcPr>
            <w:tcW w:w="9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神美科技（贵州）有限公司</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年产50万吨水处理药剂项目</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2021年12月</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553.09</w:t>
            </w:r>
          </w:p>
        </w:tc>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1056.40 </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94.03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9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贵州昊升新能源有限责任公司</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9.6万立方米成品油油库建设项目</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2022年12月</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8278.46</w:t>
            </w:r>
          </w:p>
        </w:tc>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1986.83 </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1407.34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p>
        </w:tc>
        <w:tc>
          <w:tcPr>
            <w:tcW w:w="9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开阳经产投能源开发有限公司</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贵州省贵阳市开阳工业园区核心区热电联产及配套项目</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2023年12月</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80113</w:t>
            </w:r>
          </w:p>
        </w:tc>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i w:val="0"/>
                <w:iCs w:val="0"/>
                <w:color w:val="auto"/>
                <w:kern w:val="0"/>
                <w:sz w:val="18"/>
                <w:szCs w:val="18"/>
                <w:u w:val="none"/>
                <w:lang w:val="en-US" w:eastAsia="zh-CN" w:bidi="ar"/>
              </w:rPr>
            </w:pPr>
            <w:r>
              <w:rPr>
                <w:rFonts w:hint="default" w:ascii="仿宋" w:hAnsi="仿宋" w:eastAsia="仿宋" w:cs="仿宋"/>
                <w:i w:val="0"/>
                <w:iCs w:val="0"/>
                <w:color w:val="auto"/>
                <w:kern w:val="0"/>
                <w:sz w:val="18"/>
                <w:szCs w:val="18"/>
                <w:u w:val="none"/>
                <w:lang w:val="en-US" w:eastAsia="zh-CN" w:bidi="ar"/>
              </w:rPr>
              <w:t xml:space="preserve">51245.56 </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27972</w:t>
            </w:r>
          </w:p>
        </w:tc>
      </w:tr>
    </w:tbl>
    <w:p>
      <w:pPr>
        <w:jc w:val="center"/>
        <w:rPr>
          <w:rFonts w:hint="eastAsia"/>
          <w:color w:val="auto"/>
          <w:lang w:val="en-US" w:eastAsia="zh-CN"/>
        </w:rPr>
      </w:pPr>
      <w:r>
        <w:rPr>
          <w:rFonts w:hint="eastAsia"/>
          <w:color w:val="auto"/>
          <w:lang w:val="en-US" w:eastAsia="zh-CN"/>
        </w:rPr>
        <w:t>表3-27 开发区拟入驻项目（其他）预测能耗、产值、增加值情况表</w:t>
      </w:r>
    </w:p>
    <w:tbl>
      <w:tblPr>
        <w:tblStyle w:val="11"/>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56"/>
        <w:gridCol w:w="770"/>
        <w:gridCol w:w="771"/>
        <w:gridCol w:w="811"/>
        <w:gridCol w:w="896"/>
        <w:gridCol w:w="896"/>
        <w:gridCol w:w="896"/>
        <w:gridCol w:w="896"/>
        <w:gridCol w:w="896"/>
        <w:gridCol w:w="896"/>
        <w:gridCol w:w="896"/>
        <w:gridCol w:w="896"/>
        <w:gridCol w:w="896"/>
        <w:gridCol w:w="896"/>
        <w:gridCol w:w="896"/>
        <w:gridCol w:w="9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37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名称</w:t>
            </w:r>
          </w:p>
        </w:tc>
        <w:tc>
          <w:tcPr>
            <w:tcW w:w="4626" w:type="pct"/>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其他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7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2021年</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2022年</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2023年</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2024年</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2025年</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2026年</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2027年</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2028年</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2029年</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2030年</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2031年</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2032年</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2033年</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2034年</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计划能耗</w:t>
            </w:r>
          </w:p>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（等价值）</w:t>
            </w:r>
          </w:p>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（吨标煤）</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1056.4</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3043.23</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33790.57</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44039.68</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43934.04</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43735.36</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39635.72</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39635.72</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39530.08</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39331.39</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39331.39</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35231.74</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35126.1</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34927.42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预计产值</w:t>
            </w:r>
          </w:p>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（万元）</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553.09</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8831.55</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56899.35</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72921.95</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72866.64</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72038.79</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65629.75</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65629.75</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65574.44</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64746.6</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64746.6</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58337.56</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58282.25</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57454.4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预计增加值</w:t>
            </w:r>
          </w:p>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（万元）</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94.03</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1501.37</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18284.57</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23878.97</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23869.57</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23728.84</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21491.08</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21491.08</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21481.67</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21340.93</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21340.93</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19103.17</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19093.77</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18953.04</w:t>
            </w:r>
          </w:p>
        </w:tc>
      </w:tr>
    </w:tbl>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r>
        <w:rPr>
          <w:rFonts w:hint="eastAsia"/>
          <w:color w:val="auto"/>
          <w:lang w:val="en-US" w:eastAsia="zh-CN"/>
        </w:rPr>
        <w:t>9、开发区拟入驻项目情况汇总</w:t>
      </w:r>
    </w:p>
    <w:p>
      <w:pPr>
        <w:jc w:val="center"/>
        <w:rPr>
          <w:rFonts w:hint="eastAsia"/>
          <w:color w:val="auto"/>
          <w:lang w:val="en-US" w:eastAsia="zh-CN"/>
        </w:rPr>
      </w:pPr>
      <w:r>
        <w:rPr>
          <w:rFonts w:hint="eastAsia"/>
          <w:color w:val="auto"/>
          <w:lang w:val="en-US" w:eastAsia="zh-CN"/>
        </w:rPr>
        <w:t>表3-28 开发区拟入驻项目预测能耗、产值、增加值汇总情况表</w:t>
      </w:r>
    </w:p>
    <w:tbl>
      <w:tblPr>
        <w:tblStyle w:val="11"/>
        <w:tblW w:w="1430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6"/>
        <w:gridCol w:w="704"/>
        <w:gridCol w:w="891"/>
        <w:gridCol w:w="966"/>
        <w:gridCol w:w="966"/>
        <w:gridCol w:w="966"/>
        <w:gridCol w:w="1041"/>
        <w:gridCol w:w="1041"/>
        <w:gridCol w:w="1041"/>
        <w:gridCol w:w="1041"/>
        <w:gridCol w:w="1041"/>
        <w:gridCol w:w="966"/>
        <w:gridCol w:w="1041"/>
        <w:gridCol w:w="1041"/>
        <w:gridCol w:w="1041"/>
        <w:gridCol w:w="10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6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名称</w:t>
            </w:r>
          </w:p>
        </w:tc>
        <w:tc>
          <w:tcPr>
            <w:tcW w:w="13440"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2021年</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2022年</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2023年</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2024年</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2025年</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2026年</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2027年</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2028年</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2029年</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2030年</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2031年</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2032年</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2033年</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2034年</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2035年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计划能耗</w:t>
            </w:r>
          </w:p>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（等价值）</w:t>
            </w:r>
          </w:p>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（吨标煤）</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66937.04</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507077.38</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1569471.51</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2373034.25</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3154938.56</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3809270.57</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4334489.45</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4587655.02</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4911474.36</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4739025.62</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4616198.25</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4445985.11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4352850.36</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4204093.8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预计产值</w:t>
            </w:r>
          </w:p>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（万元）</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510800.52</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1967891.27</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5347668.29</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8412075.12</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11458637.55</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13631586.64</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16382780.34</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17445595.53</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19668059.76</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18491512.3</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18141673.95</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17680614.27</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17456945.92</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16495258.19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预计增加值</w:t>
            </w:r>
          </w:p>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（万元）</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106115.93</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451325.96</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1253751.1</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1984651.46</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2661789.04</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3183265.02</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3767997.21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3981830.72</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4430692.33</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4190233.31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4109204.27</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3991617.09</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3935801.94</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3736381.56</w:t>
            </w:r>
          </w:p>
        </w:tc>
      </w:tr>
    </w:tbl>
    <w:p>
      <w:pPr>
        <w:ind w:left="0" w:leftChars="0" w:firstLine="0" w:firstLineChars="0"/>
        <w:jc w:val="both"/>
        <w:rPr>
          <w:color w:val="auto"/>
        </w:rPr>
      </w:pPr>
      <w:r>
        <w:rPr>
          <w:color w:val="auto"/>
        </w:rPr>
        <w:drawing>
          <wp:inline distT="0" distB="0" distL="114300" distR="114300">
            <wp:extent cx="8852535" cy="1864360"/>
            <wp:effectExtent l="4445" t="4445" r="12700" b="5715"/>
            <wp:docPr id="20"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ind w:left="0" w:leftChars="0" w:firstLine="0" w:firstLineChars="0"/>
        <w:jc w:val="center"/>
        <w:rPr>
          <w:rFonts w:hint="default" w:eastAsia="仿宋"/>
          <w:color w:val="auto"/>
          <w:lang w:val="en-US" w:eastAsia="zh-CN"/>
        </w:rPr>
        <w:sectPr>
          <w:pgSz w:w="16838" w:h="11906" w:orient="landscape"/>
          <w:pgMar w:top="1800" w:right="1440" w:bottom="1800" w:left="1440" w:header="851" w:footer="992" w:gutter="0"/>
          <w:pgNumType w:fmt="decimal"/>
          <w:cols w:space="425" w:num="1"/>
          <w:docGrid w:type="lines" w:linePitch="312" w:charSpace="0"/>
        </w:sectPr>
      </w:pPr>
      <w:r>
        <w:rPr>
          <w:rFonts w:hint="eastAsia"/>
          <w:color w:val="auto"/>
          <w:lang w:val="en-US" w:eastAsia="zh-CN"/>
        </w:rPr>
        <w:t>图3-2 开发区拟入驻项目预测能耗情况</w:t>
      </w:r>
    </w:p>
    <w:p>
      <w:pPr>
        <w:pStyle w:val="4"/>
        <w:bidi w:val="0"/>
        <w:rPr>
          <w:rFonts w:hint="default"/>
          <w:color w:val="auto"/>
          <w:lang w:val="en-US" w:eastAsia="zh-CN"/>
        </w:rPr>
      </w:pPr>
      <w:bookmarkStart w:id="28" w:name="_Toc2507"/>
      <w:r>
        <w:rPr>
          <w:rFonts w:hint="eastAsia"/>
          <w:color w:val="auto"/>
          <w:lang w:val="en-US" w:eastAsia="zh-CN"/>
        </w:rPr>
        <w:t>3.1.3 区域能耗总量预测方法及模型</w:t>
      </w:r>
      <w:bookmarkEnd w:id="28"/>
    </w:p>
    <w:p>
      <w:pPr>
        <w:rPr>
          <w:rFonts w:hint="eastAsia"/>
          <w:b/>
          <w:bCs/>
          <w:color w:val="auto"/>
          <w:lang w:val="en-US" w:eastAsia="zh-CN"/>
        </w:rPr>
      </w:pPr>
      <w:r>
        <w:rPr>
          <w:rFonts w:hint="eastAsia"/>
          <w:b/>
          <w:bCs/>
          <w:color w:val="auto"/>
          <w:lang w:val="en-US" w:eastAsia="zh-CN"/>
        </w:rPr>
        <w:t>1、区域能源消费总量预测方法</w:t>
      </w:r>
    </w:p>
    <w:p>
      <w:pPr>
        <w:rPr>
          <w:rFonts w:hint="eastAsia"/>
          <w:color w:val="auto"/>
          <w:lang w:val="en-US" w:eastAsia="zh-CN"/>
        </w:rPr>
      </w:pPr>
      <w:r>
        <w:rPr>
          <w:rFonts w:hint="eastAsia"/>
          <w:color w:val="auto"/>
          <w:lang w:val="en-US" w:eastAsia="zh-CN"/>
        </w:rPr>
        <w:t>根据贵州开阳经济开发区（开阳县工业园区）规划土地开发面积，现有34家规上企业，对于开发区而言，由于存量的存在，同时需要考虑在建项目投产后的能耗，因此对于区域能源消费总量测算而言难度将会更大。回归等传统的测算方法并不太适用于园区的能耗总量测算，一方面是由于政策强度的不同，会导致回归等方法测算的误差较大；另一方面是由于在建项目的投产时间及不确定性可能会对回归结果产生较大影响。</w:t>
      </w:r>
    </w:p>
    <w:p>
      <w:pPr>
        <w:rPr>
          <w:rFonts w:hint="eastAsia"/>
          <w:color w:val="auto"/>
          <w:lang w:val="en-US" w:eastAsia="zh-CN"/>
        </w:rPr>
      </w:pPr>
      <w:r>
        <w:rPr>
          <w:rFonts w:hint="eastAsia"/>
          <w:color w:val="auto"/>
          <w:lang w:val="en-US" w:eastAsia="zh-CN"/>
        </w:rPr>
        <w:t>因此，结合园区能源消费总量测算方法，拟采用以下方法进行测算：</w:t>
      </w:r>
    </w:p>
    <w:p>
      <w:pPr>
        <w:rPr>
          <w:rFonts w:hint="eastAsia"/>
          <w:color w:val="auto"/>
          <w:lang w:val="en-US" w:eastAsia="zh-CN"/>
        </w:rPr>
      </w:pPr>
      <w:r>
        <w:rPr>
          <w:rFonts w:hint="eastAsia"/>
          <w:color w:val="auto"/>
          <w:lang w:val="en-US" w:eastAsia="zh-CN"/>
        </w:rPr>
        <w:t>（1）对区域现有主要行业进行统计整理，统计各主要行业的产值、增加值以及能耗，测算各个主导行业的增加值能耗；</w:t>
      </w:r>
    </w:p>
    <w:p>
      <w:pPr>
        <w:rPr>
          <w:rFonts w:hint="eastAsia"/>
          <w:color w:val="auto"/>
          <w:lang w:val="en-US" w:eastAsia="zh-CN"/>
        </w:rPr>
      </w:pPr>
      <w:r>
        <w:rPr>
          <w:rFonts w:hint="eastAsia"/>
          <w:color w:val="auto"/>
          <w:lang w:val="en-US" w:eastAsia="zh-CN"/>
        </w:rPr>
        <w:t>（2）依据园区规划及发展预期目标，测算区域内的各个行业的产值以及增加值；</w:t>
      </w:r>
    </w:p>
    <w:p>
      <w:pPr>
        <w:rPr>
          <w:rFonts w:hint="eastAsia"/>
          <w:color w:val="auto"/>
          <w:lang w:val="en-US" w:eastAsia="zh-CN"/>
        </w:rPr>
      </w:pPr>
      <w:r>
        <w:rPr>
          <w:rFonts w:hint="eastAsia"/>
          <w:color w:val="auto"/>
          <w:lang w:val="en-US" w:eastAsia="zh-CN"/>
        </w:rPr>
        <w:t>（3）对上述两点得出的结论进行归纳整理和分析，并根据下列情况进行处理：</w:t>
      </w:r>
    </w:p>
    <w:p>
      <w:pPr>
        <w:rPr>
          <w:rFonts w:hint="eastAsia"/>
          <w:color w:val="auto"/>
          <w:lang w:val="en-US" w:eastAsia="zh-CN"/>
        </w:rPr>
      </w:pPr>
      <w:r>
        <w:rPr>
          <w:rFonts w:hint="eastAsia"/>
          <w:color w:val="auto"/>
          <w:lang w:val="en-US" w:eastAsia="zh-CN"/>
        </w:rPr>
        <w:t>1）现有实际产值、增加值大于园区规划和预期目标的，需要同区域相关管理部门重新对区域发展目标进行核定，并确定最终发展目标。</w:t>
      </w:r>
    </w:p>
    <w:p>
      <w:pPr>
        <w:rPr>
          <w:rFonts w:hint="eastAsia"/>
          <w:color w:val="auto"/>
          <w:lang w:val="en-US" w:eastAsia="zh-CN"/>
        </w:rPr>
      </w:pPr>
      <w:r>
        <w:rPr>
          <w:rFonts w:hint="eastAsia"/>
          <w:color w:val="auto"/>
          <w:lang w:val="en-US" w:eastAsia="zh-CN"/>
        </w:rPr>
        <w:t>2）现有实际产值、增加值低于园区规划和预期目标的，在合理范围内的，可以考虑直接采用。</w:t>
      </w:r>
    </w:p>
    <w:p>
      <w:pPr>
        <w:rPr>
          <w:rFonts w:hint="eastAsia"/>
          <w:color w:val="auto"/>
          <w:lang w:val="en-US" w:eastAsia="zh-CN"/>
        </w:rPr>
      </w:pPr>
      <w:r>
        <w:rPr>
          <w:rFonts w:hint="eastAsia"/>
          <w:color w:val="auto"/>
          <w:lang w:val="en-US" w:eastAsia="zh-CN"/>
        </w:rPr>
        <w:t>（4）确定行业的产值能耗和增加值能耗；</w:t>
      </w:r>
    </w:p>
    <w:p>
      <w:pPr>
        <w:rPr>
          <w:rFonts w:hint="eastAsia"/>
          <w:color w:val="auto"/>
          <w:lang w:val="en-US" w:eastAsia="zh-CN"/>
        </w:rPr>
      </w:pPr>
      <w:r>
        <w:rPr>
          <w:rFonts w:hint="eastAsia"/>
          <w:color w:val="auto"/>
          <w:lang w:val="en-US" w:eastAsia="zh-CN"/>
        </w:rPr>
        <w:t>（5）以行业贡献为权重，测算区域总能耗。</w:t>
      </w:r>
    </w:p>
    <w:p>
      <w:pPr>
        <w:rPr>
          <w:rFonts w:hint="eastAsia"/>
          <w:color w:val="auto"/>
          <w:lang w:val="en-US" w:eastAsia="zh-CN"/>
        </w:rPr>
        <w:sectPr>
          <w:pgSz w:w="11906" w:h="16838"/>
          <w:pgMar w:top="1440" w:right="1800" w:bottom="1440" w:left="1800" w:header="851" w:footer="992" w:gutter="0"/>
          <w:pgNumType w:fmt="decimal"/>
          <w:cols w:space="425" w:num="1"/>
          <w:docGrid w:type="lines" w:linePitch="312" w:charSpace="0"/>
        </w:sectPr>
      </w:pPr>
    </w:p>
    <w:p>
      <w:pPr>
        <w:ind w:left="0" w:leftChars="0" w:firstLine="0" w:firstLineChars="0"/>
        <w:rPr>
          <w:color w:val="auto"/>
        </w:rPr>
      </w:pPr>
      <w:r>
        <w:rPr>
          <w:color w:val="auto"/>
        </w:rPr>
        <w:drawing>
          <wp:inline distT="0" distB="0" distL="114300" distR="114300">
            <wp:extent cx="8858885" cy="3218180"/>
            <wp:effectExtent l="0" t="0" r="18415" b="12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8"/>
                    <a:stretch>
                      <a:fillRect/>
                    </a:stretch>
                  </pic:blipFill>
                  <pic:spPr>
                    <a:xfrm>
                      <a:off x="0" y="0"/>
                      <a:ext cx="8858885" cy="3218180"/>
                    </a:xfrm>
                    <a:prstGeom prst="rect">
                      <a:avLst/>
                    </a:prstGeom>
                    <a:noFill/>
                    <a:ln>
                      <a:noFill/>
                    </a:ln>
                  </pic:spPr>
                </pic:pic>
              </a:graphicData>
            </a:graphic>
          </wp:inline>
        </w:drawing>
      </w:r>
    </w:p>
    <w:p>
      <w:pPr>
        <w:bidi w:val="0"/>
        <w:jc w:val="center"/>
        <w:rPr>
          <w:rFonts w:hint="eastAsia"/>
          <w:color w:val="auto"/>
          <w:lang w:val="en-US" w:eastAsia="zh-CN"/>
        </w:rPr>
      </w:pPr>
      <w:r>
        <w:rPr>
          <w:rFonts w:hint="eastAsia"/>
          <w:color w:val="auto"/>
          <w:lang w:val="en-US" w:eastAsia="zh-CN"/>
        </w:rPr>
        <w:t>图3-7园区能耗总量测算过程框图</w:t>
      </w:r>
    </w:p>
    <w:p>
      <w:pPr>
        <w:rPr>
          <w:rFonts w:hint="eastAsia"/>
          <w:color w:val="auto"/>
          <w:lang w:val="en-US" w:eastAsia="zh-CN"/>
        </w:rPr>
      </w:pPr>
    </w:p>
    <w:p>
      <w:pPr>
        <w:rPr>
          <w:rFonts w:hint="eastAsia"/>
          <w:color w:val="auto"/>
          <w:lang w:val="en-US" w:eastAsia="zh-CN"/>
        </w:rPr>
      </w:pPr>
    </w:p>
    <w:p>
      <w:pPr>
        <w:rPr>
          <w:rFonts w:hint="eastAsia"/>
          <w:color w:val="auto"/>
          <w:lang w:val="en-US" w:eastAsia="zh-CN"/>
        </w:rPr>
        <w:sectPr>
          <w:pgSz w:w="16838" w:h="11906" w:orient="landscape"/>
          <w:pgMar w:top="1800" w:right="1440" w:bottom="1800" w:left="1440" w:header="851" w:footer="992" w:gutter="0"/>
          <w:pgNumType w:fmt="decimal"/>
          <w:cols w:space="425" w:num="1"/>
          <w:docGrid w:type="lines" w:linePitch="312" w:charSpace="0"/>
        </w:sectPr>
      </w:pPr>
    </w:p>
    <w:p>
      <w:pPr>
        <w:rPr>
          <w:rFonts w:hint="eastAsia"/>
          <w:color w:val="auto"/>
          <w:lang w:val="en-US" w:eastAsia="zh-CN"/>
        </w:rPr>
      </w:pPr>
      <w:r>
        <w:rPr>
          <w:rFonts w:hint="eastAsia"/>
          <w:color w:val="auto"/>
          <w:lang w:val="en-US" w:eastAsia="zh-CN"/>
        </w:rPr>
        <w:t>在测算开发区总能耗的过程中，要区分清楚现有存量及增量情况，以完成“双控”目标为依据，更好的优化行业结构，对行业的能效水平提出要求。</w:t>
      </w:r>
    </w:p>
    <w:p>
      <w:pPr>
        <w:rPr>
          <w:rFonts w:hint="eastAsia"/>
          <w:b/>
          <w:bCs/>
          <w:color w:val="auto"/>
          <w:lang w:val="en-US" w:eastAsia="zh-CN"/>
        </w:rPr>
      </w:pPr>
      <w:r>
        <w:rPr>
          <w:rFonts w:hint="eastAsia"/>
          <w:b/>
          <w:bCs/>
          <w:color w:val="auto"/>
          <w:lang w:val="en-US" w:eastAsia="zh-CN"/>
        </w:rPr>
        <w:t>2、区域能源消费强度预测方法</w:t>
      </w:r>
    </w:p>
    <w:p>
      <w:pPr>
        <w:rPr>
          <w:rFonts w:hint="eastAsia"/>
          <w:color w:val="auto"/>
          <w:lang w:val="en-US" w:eastAsia="zh-CN"/>
        </w:rPr>
      </w:pPr>
      <w:r>
        <w:rPr>
          <w:rFonts w:hint="eastAsia"/>
          <w:color w:val="auto"/>
          <w:lang w:val="en-US" w:eastAsia="zh-CN"/>
        </w:rPr>
        <w:t>依据地区生产总值能耗强度测算公式对应分析方法可以得到，区域的单位工业增加值能耗计算方法如下：</w:t>
      </w:r>
    </w:p>
    <w:p>
      <w:pPr>
        <w:rPr>
          <w:rFonts w:hint="eastAsia"/>
          <w:color w:val="auto"/>
          <w:lang w:val="en-US" w:eastAsia="zh-CN"/>
        </w:rPr>
      </w:pPr>
      <w:r>
        <w:rPr>
          <w:rFonts w:hint="eastAsia"/>
          <w:color w:val="auto"/>
          <w:lang w:val="en-US" w:eastAsia="zh-CN"/>
        </w:rPr>
        <w:t>区域单位工业增加值能耗=∑第i行业增加值占工业增加值比重×第i行业单位增加值能耗</w:t>
      </w:r>
    </w:p>
    <w:p>
      <w:pPr>
        <w:jc w:val="center"/>
        <w:rPr>
          <w:rFonts w:hint="eastAsia"/>
          <w:color w:val="auto"/>
          <w:lang w:val="en-US" w:eastAsia="zh-CN"/>
        </w:rPr>
      </w:pPr>
      <w:r>
        <w:rPr>
          <w:rFonts w:hint="eastAsia"/>
          <w:color w:val="auto"/>
          <w:sz w:val="30"/>
          <w:szCs w:val="30"/>
        </w:rPr>
        <w:object>
          <v:shape id="_x0000_i1025" o:spt="75" type="#_x0000_t75" style="height:33.75pt;width:73pt;" o:ole="t" filled="f" o:preferrelative="t" stroked="f" coordsize="21600,21600">
            <v:path/>
            <v:fill on="f" focussize="0,0"/>
            <v:stroke on="f" joinstyle="miter"/>
            <v:imagedata r:id="rId20" o:title=""/>
            <o:lock v:ext="edit" aspectratio="t"/>
            <w10:wrap type="none"/>
            <w10:anchorlock/>
          </v:shape>
          <o:OLEObject Type="Embed" ProgID="Equations" ShapeID="_x0000_i1025" DrawAspect="Content" ObjectID="_1468075725" r:id="rId19">
            <o:LockedField>false</o:LockedField>
          </o:OLEObject>
        </w:object>
      </w:r>
    </w:p>
    <w:p>
      <w:pPr>
        <w:rPr>
          <w:rFonts w:hint="eastAsia"/>
          <w:color w:val="auto"/>
          <w:lang w:val="en-US" w:eastAsia="zh-CN"/>
        </w:rPr>
      </w:pPr>
      <w:r>
        <w:rPr>
          <w:rFonts w:hint="eastAsia"/>
          <w:color w:val="auto"/>
          <w:lang w:val="en-US" w:eastAsia="zh-CN"/>
        </w:rPr>
        <w:t>依据以上公式可知，要想测算区域工业增加值能耗，首先需要明确区域内各工业行业的能耗强度，其次是明确对应行业工业增加值的占比即可。就各行业增加值能耗而言，除了企业本身能源利用效率可能有一定不同之外，增加值能耗更多是由本身行业特性所决定，因此本次能耗强度预测主要采用贵阳市相关行业统计数据为依据进行测算。</w:t>
      </w:r>
    </w:p>
    <w:p>
      <w:pPr>
        <w:rPr>
          <w:rFonts w:hint="eastAsia"/>
          <w:color w:val="auto"/>
          <w:lang w:val="en-US" w:eastAsia="zh-CN"/>
        </w:rPr>
      </w:pPr>
      <w:r>
        <w:rPr>
          <w:rFonts w:hint="eastAsia"/>
          <w:color w:val="auto"/>
          <w:lang w:val="en-US" w:eastAsia="zh-CN"/>
        </w:rPr>
        <w:t>对于开发区而言，由于存在大部分企业入驻，因此能耗强度测算将较为复杂。首先需要考虑的是目前区域的行业能效水平，同时还要逐步考虑能效水平的提高。对于园区能耗强度指标确定方法和步骤按以下方法进行：</w:t>
      </w:r>
    </w:p>
    <w:p>
      <w:pPr>
        <w:rPr>
          <w:rFonts w:hint="eastAsia"/>
          <w:color w:val="auto"/>
          <w:lang w:val="en-US" w:eastAsia="zh-CN"/>
        </w:rPr>
      </w:pPr>
      <w:r>
        <w:rPr>
          <w:rFonts w:hint="eastAsia"/>
          <w:color w:val="auto"/>
          <w:lang w:val="en-US" w:eastAsia="zh-CN"/>
        </w:rPr>
        <w:t>（1）对现有行业进行统计和数据梳理，一方面明确现有行业的增加值能耗水平；另一方面对现有行业的能效水平进行评价；</w:t>
      </w:r>
    </w:p>
    <w:p>
      <w:pPr>
        <w:rPr>
          <w:rFonts w:hint="eastAsia"/>
          <w:color w:val="auto"/>
          <w:lang w:val="en-US" w:eastAsia="zh-CN"/>
        </w:rPr>
      </w:pPr>
      <w:r>
        <w:rPr>
          <w:rFonts w:hint="eastAsia"/>
          <w:color w:val="auto"/>
          <w:lang w:val="en-US" w:eastAsia="zh-CN"/>
        </w:rPr>
        <w:t>（2）对于存在高耗能行业的区域，需要对行业增加值能耗进行分析，研究原材料工业和后续加工业间的能效差异，便于明确下一步区域的主导产业发展方向；</w:t>
      </w:r>
    </w:p>
    <w:p>
      <w:pPr>
        <w:rPr>
          <w:rFonts w:hint="eastAsia"/>
          <w:color w:val="auto"/>
          <w:lang w:val="en-US" w:eastAsia="zh-CN"/>
        </w:rPr>
      </w:pPr>
      <w:r>
        <w:rPr>
          <w:rFonts w:hint="eastAsia"/>
          <w:color w:val="auto"/>
          <w:lang w:val="en-US" w:eastAsia="zh-CN"/>
        </w:rPr>
        <w:t>（3）明确区域的主导产业及具体行业发展方向；</w:t>
      </w:r>
    </w:p>
    <w:p>
      <w:pPr>
        <w:rPr>
          <w:rFonts w:hint="eastAsia"/>
          <w:color w:val="auto"/>
          <w:lang w:val="en-US" w:eastAsia="zh-CN"/>
        </w:rPr>
      </w:pPr>
      <w:r>
        <w:rPr>
          <w:rFonts w:hint="eastAsia"/>
          <w:color w:val="auto"/>
          <w:lang w:val="en-US" w:eastAsia="zh-CN"/>
        </w:rPr>
        <w:t>（4）依据区域发展目标，明确各主导产业对区域经济社会发展贡献情况及工业增加值的占比；</w:t>
      </w:r>
    </w:p>
    <w:p>
      <w:pPr>
        <w:rPr>
          <w:rFonts w:hint="eastAsia"/>
          <w:color w:val="auto"/>
          <w:lang w:val="en-US" w:eastAsia="zh-CN"/>
        </w:rPr>
      </w:pPr>
      <w:r>
        <w:rPr>
          <w:rFonts w:hint="eastAsia"/>
          <w:color w:val="auto"/>
          <w:lang w:val="en-US" w:eastAsia="zh-CN"/>
        </w:rPr>
        <w:t>（5）整理贵阳市相关行业数据，测算区域主导产业所在行业的全市平均水平；</w:t>
      </w:r>
    </w:p>
    <w:p>
      <w:pPr>
        <w:rPr>
          <w:rFonts w:hint="eastAsia"/>
          <w:color w:val="auto"/>
          <w:lang w:val="en-US" w:eastAsia="zh-CN"/>
        </w:rPr>
      </w:pPr>
      <w:r>
        <w:rPr>
          <w:rFonts w:hint="eastAsia"/>
          <w:color w:val="auto"/>
          <w:lang w:val="en-US" w:eastAsia="zh-CN"/>
        </w:rPr>
        <w:t>（6）依据区域所在地的节能“双控”目标以及区域行业的先进程度，根据贵阳市行业平均水平，制定区域能耗强度指标；</w:t>
      </w:r>
    </w:p>
    <w:p>
      <w:pPr>
        <w:rPr>
          <w:rFonts w:hint="eastAsia"/>
          <w:color w:val="auto"/>
          <w:lang w:val="en-US" w:eastAsia="zh-CN"/>
        </w:rPr>
      </w:pPr>
      <w:r>
        <w:rPr>
          <w:rFonts w:hint="eastAsia"/>
          <w:color w:val="auto"/>
          <w:lang w:val="en-US" w:eastAsia="zh-CN"/>
        </w:rPr>
        <w:t>（7）如果指定区域能耗强度指标高于所在地能耗强度目标，且能耗较大的情况下，需要结合主导产业发展方向对区域的行业结构进行优化，通过约束性指标倒逼的方式，促进区域下一步的转型调整。</w:t>
      </w:r>
    </w:p>
    <w:p>
      <w:pPr>
        <w:pStyle w:val="4"/>
        <w:bidi w:val="0"/>
        <w:rPr>
          <w:rFonts w:hint="eastAsia"/>
          <w:color w:val="auto"/>
          <w:lang w:val="en-US" w:eastAsia="zh-CN"/>
        </w:rPr>
      </w:pPr>
      <w:bookmarkStart w:id="29" w:name="_Toc8842"/>
      <w:r>
        <w:rPr>
          <w:rFonts w:hint="eastAsia"/>
          <w:color w:val="auto"/>
          <w:lang w:val="en-US" w:eastAsia="zh-CN"/>
        </w:rPr>
        <w:t>3.1.4 区域产业产值目标</w:t>
      </w:r>
      <w:bookmarkEnd w:id="29"/>
    </w:p>
    <w:p>
      <w:pPr>
        <w:rPr>
          <w:rFonts w:hint="eastAsia"/>
          <w:color w:val="auto"/>
          <w:lang w:val="en-US" w:eastAsia="zh-CN"/>
        </w:rPr>
      </w:pPr>
      <w:r>
        <w:rPr>
          <w:rFonts w:hint="eastAsia"/>
          <w:color w:val="auto"/>
          <w:lang w:val="en-US" w:eastAsia="zh-CN"/>
        </w:rPr>
        <w:t>根据开发区相关规划，并采用开发区内规上企业2018-2020年相关数据分析，预计开发区至2025年现有剩余用地将开发完成。</w:t>
      </w:r>
    </w:p>
    <w:p>
      <w:pPr>
        <w:rPr>
          <w:rFonts w:hint="eastAsia"/>
          <w:color w:val="auto"/>
          <w:lang w:val="en-US" w:eastAsia="zh-CN"/>
        </w:rPr>
      </w:pPr>
      <w:r>
        <w:rPr>
          <w:rFonts w:hint="eastAsia"/>
          <w:color w:val="auto"/>
          <w:lang w:val="en-US" w:eastAsia="zh-CN"/>
        </w:rPr>
        <w:t>根据《市人民政府办公厅关于印发贵阳贵安开发区主导产业、特色产业定位及其细分领域的通知》（筑府办函〔2022〕2号）文件，贵州开阳经济开发区（开阳县工业园区）主导产业为磷化工、生态特色食品，现状产值占规上企业总产值的82.92%，现状增加值占规上企业总增加值的83.72%。</w:t>
      </w:r>
    </w:p>
    <w:p>
      <w:pPr>
        <w:rPr>
          <w:rFonts w:hint="eastAsia"/>
          <w:color w:val="auto"/>
          <w:lang w:val="en-US" w:eastAsia="zh-CN"/>
        </w:rPr>
      </w:pPr>
      <w:r>
        <w:rPr>
          <w:rFonts w:hint="eastAsia"/>
          <w:color w:val="auto"/>
          <w:lang w:val="en-US" w:eastAsia="zh-CN"/>
        </w:rPr>
        <w:t>根据开发区现有企业现状及招商引资的情况，结合园区产业发展规划的目标：到2025年工业总产值达到500亿元。开发区未来主要发展行业主要考虑磷系新材料、氯碱化工、储能产业、铝基新材料、新型建材、特色农产品，调整开发区2025年各产业发展目标情况如下表3-29：</w:t>
      </w:r>
    </w:p>
    <w:p>
      <w:pPr>
        <w:jc w:val="center"/>
        <w:rPr>
          <w:rFonts w:hint="eastAsia"/>
          <w:color w:val="auto"/>
          <w:lang w:val="en-US" w:eastAsia="zh-CN"/>
        </w:rPr>
      </w:pPr>
      <w:r>
        <w:rPr>
          <w:rFonts w:hint="eastAsia"/>
          <w:color w:val="auto"/>
          <w:lang w:val="en-US" w:eastAsia="zh-CN"/>
        </w:rPr>
        <w:t>表3-29 开发区2025年产值目标情况</w:t>
      </w:r>
    </w:p>
    <w:tbl>
      <w:tblPr>
        <w:tblStyle w:val="11"/>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581"/>
        <w:gridCol w:w="49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 w:hRule="atLeast"/>
        </w:trPr>
        <w:tc>
          <w:tcPr>
            <w:tcW w:w="21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行业名称</w:t>
            </w:r>
          </w:p>
        </w:tc>
        <w:tc>
          <w:tcPr>
            <w:tcW w:w="28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2025年产值目标（亿元）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21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磷系新材料</w:t>
            </w:r>
          </w:p>
        </w:tc>
        <w:tc>
          <w:tcPr>
            <w:tcW w:w="28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1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氯碱化工</w:t>
            </w:r>
          </w:p>
        </w:tc>
        <w:tc>
          <w:tcPr>
            <w:tcW w:w="28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21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氟材料</w:t>
            </w:r>
          </w:p>
        </w:tc>
        <w:tc>
          <w:tcPr>
            <w:tcW w:w="28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1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钛材料</w:t>
            </w:r>
          </w:p>
        </w:tc>
        <w:tc>
          <w:tcPr>
            <w:tcW w:w="28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21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储能产业</w:t>
            </w:r>
          </w:p>
        </w:tc>
        <w:tc>
          <w:tcPr>
            <w:tcW w:w="28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1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铝基新材料</w:t>
            </w:r>
          </w:p>
        </w:tc>
        <w:tc>
          <w:tcPr>
            <w:tcW w:w="28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1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新型建材</w:t>
            </w:r>
          </w:p>
        </w:tc>
        <w:tc>
          <w:tcPr>
            <w:tcW w:w="28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1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特色农产品</w:t>
            </w:r>
          </w:p>
        </w:tc>
        <w:tc>
          <w:tcPr>
            <w:tcW w:w="28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1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合计</w:t>
            </w:r>
          </w:p>
        </w:tc>
        <w:tc>
          <w:tcPr>
            <w:tcW w:w="28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541</w:t>
            </w:r>
          </w:p>
        </w:tc>
      </w:tr>
    </w:tbl>
    <w:p>
      <w:pPr>
        <w:rPr>
          <w:rFonts w:hint="eastAsia"/>
          <w:color w:val="auto"/>
          <w:lang w:val="en-US" w:eastAsia="zh-CN"/>
        </w:rPr>
      </w:pPr>
    </w:p>
    <w:p>
      <w:pPr>
        <w:pStyle w:val="4"/>
        <w:bidi w:val="0"/>
        <w:rPr>
          <w:rFonts w:hint="eastAsia"/>
          <w:color w:val="auto"/>
          <w:lang w:val="en-US" w:eastAsia="zh-CN"/>
        </w:rPr>
      </w:pPr>
      <w:bookmarkStart w:id="30" w:name="_Toc30747"/>
      <w:r>
        <w:rPr>
          <w:rFonts w:hint="eastAsia"/>
          <w:color w:val="auto"/>
          <w:lang w:val="en-US" w:eastAsia="zh-CN"/>
        </w:rPr>
        <w:t>3.1.5 各产业总产值及工业增加值构成测算</w:t>
      </w:r>
      <w:bookmarkEnd w:id="30"/>
    </w:p>
    <w:p>
      <w:pPr>
        <w:rPr>
          <w:rFonts w:hint="eastAsia"/>
          <w:color w:val="auto"/>
          <w:lang w:val="en-US" w:eastAsia="zh-CN"/>
        </w:rPr>
      </w:pPr>
      <w:r>
        <w:rPr>
          <w:rFonts w:hint="eastAsia"/>
          <w:color w:val="auto"/>
          <w:lang w:val="en-US" w:eastAsia="zh-CN"/>
        </w:rPr>
        <w:t>开发区2025年总产值构成根据2018-2020年园区已利用土地的各行业平均产值与拟入驻的企业产值结合产业发展目标进行估算；开发区2025年各行业增加值构成根据各行业目标产值与2020年贵阳市各行业增加值/总产值占比估算。</w:t>
      </w:r>
    </w:p>
    <w:p>
      <w:pPr>
        <w:rPr>
          <w:rFonts w:hint="eastAsia"/>
          <w:color w:val="auto"/>
          <w:lang w:val="en-US" w:eastAsia="zh-CN"/>
        </w:rPr>
      </w:pPr>
      <w:r>
        <w:rPr>
          <w:rFonts w:hint="eastAsia"/>
          <w:color w:val="auto"/>
          <w:lang w:val="en-US" w:eastAsia="zh-CN"/>
        </w:rPr>
        <w:t>1、磷系新材料</w:t>
      </w:r>
    </w:p>
    <w:p>
      <w:pPr>
        <w:rPr>
          <w:rFonts w:hint="eastAsia"/>
          <w:color w:val="auto"/>
          <w:lang w:val="en-US" w:eastAsia="zh-CN"/>
        </w:rPr>
      </w:pPr>
      <w:r>
        <w:rPr>
          <w:rFonts w:hint="eastAsia"/>
          <w:color w:val="auto"/>
          <w:lang w:val="en-US" w:eastAsia="zh-CN"/>
        </w:rPr>
        <w:t>根据开发区已建成磷系新材料企业情况，2020年磷系新材料企业产值为883983.74万元，工业增加值为248230.86万元。拟入驻的磷系新材料企业产值为710643.64万元，工业增加值为236204.68万元，产业发展目标为1530000万元，则十四五期间规划产业产值达到1594627.38万元，已满足规划目标。</w:t>
      </w:r>
    </w:p>
    <w:p>
      <w:pPr>
        <w:rPr>
          <w:rFonts w:hint="eastAsia"/>
          <w:color w:val="auto"/>
          <w:lang w:val="en-US" w:eastAsia="zh-CN"/>
        </w:rPr>
      </w:pPr>
      <w:r>
        <w:rPr>
          <w:rFonts w:hint="eastAsia"/>
          <w:color w:val="auto"/>
          <w:lang w:val="en-US" w:eastAsia="zh-CN"/>
        </w:rPr>
        <w:t>2、氯碱化工</w:t>
      </w:r>
    </w:p>
    <w:p>
      <w:pPr>
        <w:rPr>
          <w:rFonts w:hint="eastAsia"/>
          <w:color w:val="auto"/>
          <w:lang w:val="en-US" w:eastAsia="zh-CN"/>
        </w:rPr>
      </w:pPr>
      <w:r>
        <w:rPr>
          <w:rFonts w:hint="eastAsia"/>
          <w:color w:val="auto"/>
          <w:lang w:val="en-US" w:eastAsia="zh-CN"/>
        </w:rPr>
        <w:t>根据开发区已建成氯碱化工企业情况，2020年氯碱化工企业产值为10991万元，工业增加值为3302.8万元。拟入驻的氯碱化工企业产值为148054.99万元，工业增加值为44416.49万元，产业发展目标为270000万元，工业增加值估算为78300万元（按贵阳市2020年氯碱化工增加值率29%计算）。则十四五期间需新增产值121945.01万元，新增工业增加值30580.71万元。</w:t>
      </w:r>
    </w:p>
    <w:p>
      <w:pPr>
        <w:rPr>
          <w:rFonts w:hint="eastAsia"/>
          <w:color w:val="auto"/>
          <w:lang w:val="en-US" w:eastAsia="zh-CN"/>
        </w:rPr>
      </w:pPr>
      <w:r>
        <w:rPr>
          <w:rFonts w:hint="eastAsia"/>
          <w:color w:val="auto"/>
          <w:lang w:val="en-US" w:eastAsia="zh-CN"/>
        </w:rPr>
        <w:t>3、氟材料</w:t>
      </w:r>
    </w:p>
    <w:p>
      <w:pPr>
        <w:rPr>
          <w:rFonts w:hint="eastAsia"/>
          <w:color w:val="auto"/>
          <w:lang w:val="en-US" w:eastAsia="zh-CN"/>
        </w:rPr>
      </w:pPr>
      <w:r>
        <w:rPr>
          <w:rFonts w:hint="eastAsia"/>
          <w:color w:val="auto"/>
          <w:lang w:val="en-US" w:eastAsia="zh-CN"/>
        </w:rPr>
        <w:t>根据开发区企业情况，2020年无氟材料产业。拟入驻的氟材料企业产值为317055.59万元，工业增加值为67961.49万元，产业发展目标为540000万元，工业增加值估算为162000万元（按贵阳市2020年氟材料增加值率30%计算）。则十四五期间需新增产值222944.41万元，新增工业增加值94038.1万元。</w:t>
      </w:r>
    </w:p>
    <w:p>
      <w:pPr>
        <w:rPr>
          <w:rFonts w:hint="eastAsia"/>
          <w:color w:val="auto"/>
          <w:lang w:val="en-US" w:eastAsia="zh-CN"/>
        </w:rPr>
      </w:pPr>
      <w:r>
        <w:rPr>
          <w:rFonts w:hint="eastAsia"/>
          <w:color w:val="auto"/>
          <w:lang w:val="en-US" w:eastAsia="zh-CN"/>
        </w:rPr>
        <w:t>4、钛材料</w:t>
      </w:r>
    </w:p>
    <w:p>
      <w:pPr>
        <w:rPr>
          <w:rFonts w:hint="eastAsia"/>
          <w:color w:val="auto"/>
          <w:lang w:val="en-US" w:eastAsia="zh-CN"/>
        </w:rPr>
      </w:pPr>
      <w:r>
        <w:rPr>
          <w:rFonts w:hint="eastAsia"/>
          <w:color w:val="auto"/>
          <w:lang w:val="en-US" w:eastAsia="zh-CN"/>
        </w:rPr>
        <w:t>根据开发区企业情况，2020年无钛材料产业。拟入驻的钛材料企业产值为427040万元，工业增加值为123841.6万元，产业发展目标为500000万元，工业增加值估算为80000万元（按贵阳市2020年钛材料增加值率16%计算）。则十四五期间需新增产值72960万元，还可新增工业增加值11673.6万元。</w:t>
      </w:r>
    </w:p>
    <w:p>
      <w:pPr>
        <w:rPr>
          <w:rFonts w:hint="eastAsia"/>
          <w:color w:val="auto"/>
          <w:lang w:val="en-US" w:eastAsia="zh-CN"/>
        </w:rPr>
      </w:pPr>
      <w:r>
        <w:rPr>
          <w:rFonts w:hint="eastAsia"/>
          <w:color w:val="auto"/>
          <w:lang w:val="en-US" w:eastAsia="zh-CN"/>
        </w:rPr>
        <w:t>5、储能产业</w:t>
      </w:r>
    </w:p>
    <w:p>
      <w:pPr>
        <w:rPr>
          <w:rFonts w:hint="default"/>
          <w:color w:val="auto"/>
          <w:lang w:val="en-US" w:eastAsia="zh-CN"/>
        </w:rPr>
      </w:pPr>
      <w:r>
        <w:rPr>
          <w:rFonts w:hint="eastAsia"/>
          <w:color w:val="auto"/>
          <w:lang w:val="en-US" w:eastAsia="zh-CN"/>
        </w:rPr>
        <w:t>根据开发区已建成储能产业企业情况，2020年储能产业企业产值为66850万元，工业增加值为20088.41万元。拟入驻的储能产业企业产值为6637776.11万元，工业增加值为1460979.92万元，产业发展目标为1870000万元，则十四五期间规划产业产值达到6704626.11万元，已满足规划目标。</w:t>
      </w:r>
    </w:p>
    <w:p>
      <w:pPr>
        <w:rPr>
          <w:rFonts w:hint="eastAsia"/>
          <w:color w:val="auto"/>
          <w:lang w:val="en-US" w:eastAsia="zh-CN"/>
        </w:rPr>
      </w:pPr>
      <w:r>
        <w:rPr>
          <w:rFonts w:hint="eastAsia"/>
          <w:color w:val="auto"/>
          <w:lang w:val="en-US" w:eastAsia="zh-CN"/>
        </w:rPr>
        <w:t>6、铝基新材料</w:t>
      </w:r>
    </w:p>
    <w:p>
      <w:pPr>
        <w:rPr>
          <w:rFonts w:hint="eastAsia"/>
          <w:color w:val="auto"/>
          <w:lang w:val="en-US" w:eastAsia="zh-CN"/>
        </w:rPr>
      </w:pPr>
      <w:r>
        <w:rPr>
          <w:rFonts w:hint="eastAsia"/>
          <w:color w:val="auto"/>
          <w:lang w:val="en-US" w:eastAsia="zh-CN"/>
        </w:rPr>
        <w:t>根据开发区已建成铝基新材料企业情况，2020年铝基新材料企业产值为17771.7万元，工业增加值为2841.69万元。产业发展目标为100000万元，工业增加值估算为15980万元（按贵阳市2020年铝基新材料增加值率15.98%计算）。则十四五期间需新增产值82228.3万元，新增工业增加值13138.31万元。</w:t>
      </w:r>
    </w:p>
    <w:p>
      <w:pPr>
        <w:rPr>
          <w:rFonts w:hint="eastAsia"/>
          <w:color w:val="auto"/>
          <w:lang w:val="en-US" w:eastAsia="zh-CN"/>
        </w:rPr>
      </w:pPr>
      <w:r>
        <w:rPr>
          <w:rFonts w:hint="eastAsia"/>
          <w:color w:val="auto"/>
          <w:lang w:val="en-US" w:eastAsia="zh-CN"/>
        </w:rPr>
        <w:t>7、新型建材</w:t>
      </w:r>
    </w:p>
    <w:p>
      <w:pPr>
        <w:rPr>
          <w:rFonts w:hint="eastAsia"/>
          <w:color w:val="auto"/>
          <w:lang w:val="en-US" w:eastAsia="zh-CN"/>
        </w:rPr>
      </w:pPr>
      <w:r>
        <w:rPr>
          <w:rFonts w:hint="eastAsia"/>
          <w:color w:val="auto"/>
          <w:lang w:val="en-US" w:eastAsia="zh-CN"/>
        </w:rPr>
        <w:t>根据开发区已建成新型建材企业情况，2020年新型建材企业产值为41115.4万元，工业增加值为10405.03万元。拟入驻的新型建材企业产值为59551.88万元，工业增加值为17905.39万元，产业发展目标为100000万元，工业增加值估算为28310.42万元（按贵阳市2020年新型建材增加值率17.02%计算）。则十四五期间规划产业产值达到100667.28万元，已满足规划目标。</w:t>
      </w:r>
    </w:p>
    <w:p>
      <w:pPr>
        <w:rPr>
          <w:rFonts w:hint="eastAsia"/>
          <w:color w:val="auto"/>
          <w:lang w:val="en-US" w:eastAsia="zh-CN"/>
        </w:rPr>
      </w:pPr>
      <w:r>
        <w:rPr>
          <w:rFonts w:hint="eastAsia"/>
          <w:color w:val="auto"/>
          <w:lang w:val="en-US" w:eastAsia="zh-CN"/>
        </w:rPr>
        <w:t>8、特色农产品</w:t>
      </w:r>
    </w:p>
    <w:p>
      <w:pPr>
        <w:rPr>
          <w:rFonts w:hint="eastAsia"/>
          <w:color w:val="auto"/>
          <w:lang w:val="en-US" w:eastAsia="zh-CN"/>
        </w:rPr>
      </w:pPr>
      <w:r>
        <w:rPr>
          <w:rFonts w:hint="eastAsia"/>
          <w:color w:val="auto"/>
          <w:lang w:val="en-US" w:eastAsia="zh-CN"/>
        </w:rPr>
        <w:t>根据开发区已建成特色农产品企业情况，2020年特色农产品企业产值为6926.6万元，工业增加值为1183.02万元。拟入驻的特色农产品企业产值为39030.96万元，工业增加值为9462.51万元，产业发展目标为500000万元，工业增加值估算为85400万元（按贵阳市2020年特色农产品增加值率17.08%计算）。则十四五期间需新增产值454042.44万元，新增工业增加值74754.47万元。</w:t>
      </w:r>
    </w:p>
    <w:p>
      <w:pPr>
        <w:rPr>
          <w:rFonts w:hint="eastAsia"/>
          <w:color w:val="auto"/>
          <w:lang w:val="en-US" w:eastAsia="zh-CN"/>
        </w:rPr>
      </w:pPr>
      <w:r>
        <w:rPr>
          <w:rFonts w:hint="eastAsia"/>
          <w:color w:val="auto"/>
          <w:lang w:val="en-US" w:eastAsia="zh-CN"/>
        </w:rPr>
        <w:t>9、开发区总产值及工业增加值目标达成情况测算</w:t>
      </w:r>
    </w:p>
    <w:p>
      <w:pPr>
        <w:rPr>
          <w:rFonts w:hint="default"/>
          <w:color w:val="auto"/>
          <w:lang w:val="en-US" w:eastAsia="zh-CN"/>
        </w:rPr>
      </w:pPr>
      <w:r>
        <w:rPr>
          <w:rFonts w:hint="eastAsia"/>
          <w:color w:val="auto"/>
          <w:lang w:val="en-US" w:eastAsia="zh-CN"/>
        </w:rPr>
        <w:t>根据以上测算，至“十四五”末2025年，开发区共需新增工业总产值954120.16万元，新增工业增加值224185.19万元。各行业总产值及增加值测算详见表3-30。</w:t>
      </w:r>
    </w:p>
    <w:p>
      <w:pPr>
        <w:jc w:val="center"/>
        <w:rPr>
          <w:rFonts w:hint="eastAsia"/>
          <w:color w:val="auto"/>
          <w:lang w:val="en-US" w:eastAsia="zh-CN"/>
        </w:rPr>
      </w:pPr>
      <w:r>
        <w:rPr>
          <w:rFonts w:hint="eastAsia"/>
          <w:color w:val="auto"/>
          <w:lang w:val="en-US" w:eastAsia="zh-CN"/>
        </w:rPr>
        <w:t>表3-30  2025年开发区总产值及工业增加值估算表</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29"/>
        <w:gridCol w:w="1970"/>
        <w:gridCol w:w="2018"/>
        <w:gridCol w:w="1759"/>
        <w:gridCol w:w="14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8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行业名称</w:t>
            </w:r>
          </w:p>
        </w:tc>
        <w:tc>
          <w:tcPr>
            <w:tcW w:w="11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已建成企业2020年产值</w:t>
            </w:r>
          </w:p>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（万元）</w:t>
            </w:r>
          </w:p>
        </w:tc>
        <w:tc>
          <w:tcPr>
            <w:tcW w:w="30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7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p>
        </w:tc>
        <w:tc>
          <w:tcPr>
            <w:tcW w:w="11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p>
        </w:tc>
        <w:tc>
          <w:tcPr>
            <w:tcW w:w="1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已规划入驻企业预计产值</w:t>
            </w:r>
          </w:p>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（万元）</w:t>
            </w:r>
          </w:p>
        </w:tc>
        <w:tc>
          <w:tcPr>
            <w:tcW w:w="10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未开发土地预测产值</w:t>
            </w:r>
          </w:p>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（万元）</w:t>
            </w:r>
          </w:p>
        </w:tc>
        <w:tc>
          <w:tcPr>
            <w:tcW w:w="8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小计</w:t>
            </w:r>
          </w:p>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磷系新材料</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883983.74</w:t>
            </w:r>
          </w:p>
        </w:tc>
        <w:tc>
          <w:tcPr>
            <w:tcW w:w="1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710643.64</w:t>
            </w: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1594627.38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氯碱化工</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10991</w:t>
            </w:r>
          </w:p>
        </w:tc>
        <w:tc>
          <w:tcPr>
            <w:tcW w:w="1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148054.99</w:t>
            </w: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121945.01</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270000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氟材料</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0</w:t>
            </w:r>
          </w:p>
        </w:tc>
        <w:tc>
          <w:tcPr>
            <w:tcW w:w="1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317055.59</w:t>
            </w: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222944.41</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540000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钛材料</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0</w:t>
            </w:r>
          </w:p>
        </w:tc>
        <w:tc>
          <w:tcPr>
            <w:tcW w:w="1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427040</w:t>
            </w: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72960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500000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储能产业</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66850</w:t>
            </w:r>
          </w:p>
        </w:tc>
        <w:tc>
          <w:tcPr>
            <w:tcW w:w="1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6637776.11</w:t>
            </w: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6704626.11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铝基新材料</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17771.7</w:t>
            </w:r>
          </w:p>
        </w:tc>
        <w:tc>
          <w:tcPr>
            <w:tcW w:w="1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82228.3</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新型建材</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41115.4</w:t>
            </w:r>
          </w:p>
        </w:tc>
        <w:tc>
          <w:tcPr>
            <w:tcW w:w="1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59551.88</w:t>
            </w: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100667.28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特色农产品</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6926.6</w:t>
            </w:r>
          </w:p>
        </w:tc>
        <w:tc>
          <w:tcPr>
            <w:tcW w:w="1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39030.96</w:t>
            </w: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454042.44</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500000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其他</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46701.44</w:t>
            </w:r>
          </w:p>
        </w:tc>
        <w:tc>
          <w:tcPr>
            <w:tcW w:w="1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72921.95</w:t>
            </w: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119623.39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合计</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1074339.88</w:t>
            </w:r>
          </w:p>
        </w:tc>
        <w:tc>
          <w:tcPr>
            <w:tcW w:w="1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8412075.12</w:t>
            </w: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954120.16</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10429544.16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行业名称</w:t>
            </w:r>
          </w:p>
        </w:tc>
        <w:tc>
          <w:tcPr>
            <w:tcW w:w="11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已建成企业2020年增加值</w:t>
            </w:r>
          </w:p>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（万元）</w:t>
            </w:r>
          </w:p>
        </w:tc>
        <w:tc>
          <w:tcPr>
            <w:tcW w:w="30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trPr>
        <w:tc>
          <w:tcPr>
            <w:tcW w:w="7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p>
        </w:tc>
        <w:tc>
          <w:tcPr>
            <w:tcW w:w="11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p>
        </w:tc>
        <w:tc>
          <w:tcPr>
            <w:tcW w:w="1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已规划入驻企业预计增加值</w:t>
            </w:r>
          </w:p>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（万元）</w:t>
            </w:r>
          </w:p>
        </w:tc>
        <w:tc>
          <w:tcPr>
            <w:tcW w:w="10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未开发土地预测增加值</w:t>
            </w:r>
          </w:p>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（万元）</w:t>
            </w:r>
          </w:p>
        </w:tc>
        <w:tc>
          <w:tcPr>
            <w:tcW w:w="8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小计</w:t>
            </w:r>
          </w:p>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磷系新材料</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248230.86</w:t>
            </w:r>
          </w:p>
        </w:tc>
        <w:tc>
          <w:tcPr>
            <w:tcW w:w="1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236204.68</w:t>
            </w: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484435.54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氯碱化工</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3302.8</w:t>
            </w:r>
          </w:p>
        </w:tc>
        <w:tc>
          <w:tcPr>
            <w:tcW w:w="1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44416.49</w:t>
            </w: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30580.71</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78300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氟材料</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0</w:t>
            </w:r>
          </w:p>
        </w:tc>
        <w:tc>
          <w:tcPr>
            <w:tcW w:w="1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67961.9</w:t>
            </w: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94038.1</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162000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钛材料</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0</w:t>
            </w:r>
          </w:p>
        </w:tc>
        <w:tc>
          <w:tcPr>
            <w:tcW w:w="1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123841.6</w:t>
            </w: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11673.6</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135515.2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储能产业</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20088.41</w:t>
            </w:r>
          </w:p>
        </w:tc>
        <w:tc>
          <w:tcPr>
            <w:tcW w:w="1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1460979.92</w:t>
            </w: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1481068.33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铝基新材料</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2841.69</w:t>
            </w:r>
          </w:p>
        </w:tc>
        <w:tc>
          <w:tcPr>
            <w:tcW w:w="1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13138.31</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15980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新型建材</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10405.03</w:t>
            </w:r>
          </w:p>
        </w:tc>
        <w:tc>
          <w:tcPr>
            <w:tcW w:w="1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17905.39</w:t>
            </w: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28310.42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特色农产品</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1183.02</w:t>
            </w:r>
          </w:p>
        </w:tc>
        <w:tc>
          <w:tcPr>
            <w:tcW w:w="1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9462.51</w:t>
            </w: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74754.47</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85400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其他</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11867.85</w:t>
            </w:r>
          </w:p>
        </w:tc>
        <w:tc>
          <w:tcPr>
            <w:tcW w:w="1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23878.97</w:t>
            </w: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35746.82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合计</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297919.66</w:t>
            </w:r>
          </w:p>
        </w:tc>
        <w:tc>
          <w:tcPr>
            <w:tcW w:w="1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1984651.46</w:t>
            </w: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224185.19</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2506756.31</w:t>
            </w:r>
          </w:p>
        </w:tc>
      </w:tr>
    </w:tbl>
    <w:p>
      <w:pPr>
        <w:rPr>
          <w:rFonts w:hint="eastAsia"/>
          <w:color w:val="auto"/>
          <w:lang w:val="en-US" w:eastAsia="zh-CN"/>
        </w:rPr>
      </w:pPr>
    </w:p>
    <w:p>
      <w:pPr>
        <w:pStyle w:val="3"/>
        <w:bidi w:val="0"/>
        <w:rPr>
          <w:rFonts w:hint="eastAsia"/>
          <w:color w:val="auto"/>
          <w:lang w:val="en-US" w:eastAsia="zh-CN"/>
        </w:rPr>
      </w:pPr>
      <w:bookmarkStart w:id="31" w:name="_Toc16491"/>
      <w:r>
        <w:rPr>
          <w:rFonts w:hint="eastAsia"/>
          <w:color w:val="auto"/>
          <w:lang w:val="en-US" w:eastAsia="zh-CN"/>
        </w:rPr>
        <w:t>3.2 区域能效水平确定</w:t>
      </w:r>
      <w:bookmarkEnd w:id="31"/>
    </w:p>
    <w:p>
      <w:pPr>
        <w:bidi w:val="0"/>
        <w:rPr>
          <w:rFonts w:hint="default"/>
          <w:color w:val="auto"/>
          <w:highlight w:val="none"/>
          <w:lang w:val="en-US" w:eastAsia="zh-CN"/>
        </w:rPr>
      </w:pPr>
      <w:r>
        <w:rPr>
          <w:rFonts w:hint="default"/>
          <w:color w:val="auto"/>
          <w:highlight w:val="none"/>
          <w:lang w:val="en-US" w:eastAsia="zh-CN"/>
        </w:rPr>
        <w:t>本次区域能评能效水平拟采用贵阳市2020年行业平均水平结合开发区现有行业企业能耗水平作为基准，综合考虑区域所在区县的“双控”目标，确定区域各行业的能效水平。</w:t>
      </w:r>
    </w:p>
    <w:p>
      <w:pPr>
        <w:bidi w:val="0"/>
        <w:rPr>
          <w:rFonts w:hint="default"/>
          <w:color w:val="auto"/>
          <w:highlight w:val="none"/>
          <w:lang w:val="en-US" w:eastAsia="zh-CN"/>
        </w:rPr>
      </w:pPr>
      <w:r>
        <w:rPr>
          <w:rFonts w:hint="default"/>
          <w:color w:val="auto"/>
          <w:highlight w:val="none"/>
          <w:lang w:val="en-US" w:eastAsia="zh-CN"/>
        </w:rPr>
        <w:t>根据贵阳市“十四五”期间增加值能耗下降1</w:t>
      </w:r>
      <w:r>
        <w:rPr>
          <w:rFonts w:hint="eastAsia"/>
          <w:color w:val="auto"/>
          <w:highlight w:val="none"/>
          <w:lang w:val="en-US" w:eastAsia="zh-CN"/>
        </w:rPr>
        <w:t>3</w:t>
      </w:r>
      <w:r>
        <w:rPr>
          <w:rFonts w:hint="default"/>
          <w:color w:val="auto"/>
          <w:highlight w:val="none"/>
          <w:lang w:val="en-US" w:eastAsia="zh-CN"/>
        </w:rPr>
        <w:t>%</w:t>
      </w:r>
      <w:r>
        <w:rPr>
          <w:rFonts w:hint="eastAsia"/>
          <w:color w:val="auto"/>
          <w:highlight w:val="none"/>
          <w:lang w:val="en-US" w:eastAsia="zh-CN"/>
        </w:rPr>
        <w:t>、开阳县</w:t>
      </w:r>
      <w:r>
        <w:rPr>
          <w:rFonts w:hint="default"/>
          <w:color w:val="auto"/>
          <w:highlight w:val="none"/>
          <w:lang w:val="en-US" w:eastAsia="zh-CN"/>
        </w:rPr>
        <w:t>“十四五”期间增加值能耗下降1</w:t>
      </w:r>
      <w:r>
        <w:rPr>
          <w:rFonts w:hint="eastAsia"/>
          <w:color w:val="auto"/>
          <w:highlight w:val="none"/>
          <w:lang w:val="en-US" w:eastAsia="zh-CN"/>
        </w:rPr>
        <w:t>5</w:t>
      </w:r>
      <w:r>
        <w:rPr>
          <w:rFonts w:hint="default"/>
          <w:color w:val="auto"/>
          <w:highlight w:val="none"/>
          <w:lang w:val="en-US" w:eastAsia="zh-CN"/>
        </w:rPr>
        <w:t>%的目标，结合开发区主要发展</w:t>
      </w:r>
      <w:r>
        <w:rPr>
          <w:rFonts w:hint="eastAsia"/>
          <w:color w:val="auto"/>
          <w:highlight w:val="none"/>
          <w:lang w:val="en-US" w:eastAsia="zh-CN"/>
        </w:rPr>
        <w:t>磷化工</w:t>
      </w:r>
      <w:r>
        <w:rPr>
          <w:rFonts w:hint="default"/>
          <w:color w:val="auto"/>
          <w:highlight w:val="none"/>
          <w:lang w:val="en-US" w:eastAsia="zh-CN"/>
        </w:rPr>
        <w:t>及生态特色食品业的产业发展方向，重点延伸产业链，发展高附加值的产品，因此，开发区2025年增加值能耗按平均每年下降6%进行估算。</w:t>
      </w:r>
      <w:r>
        <w:rPr>
          <w:rFonts w:hint="eastAsia"/>
          <w:color w:val="auto"/>
          <w:highlight w:val="none"/>
          <w:lang w:val="en-US" w:eastAsia="zh-CN"/>
        </w:rPr>
        <w:t>根据开发区产业布局，氟材料、钛材料工业增加值能耗预计值参考拟入驻项目进行取值预测。</w:t>
      </w:r>
      <w:r>
        <w:rPr>
          <w:rFonts w:hint="default"/>
          <w:color w:val="auto"/>
          <w:highlight w:val="none"/>
          <w:lang w:val="en-US" w:eastAsia="zh-CN"/>
        </w:rPr>
        <w:t>区域能效水平确定情况如下表所示：</w:t>
      </w:r>
    </w:p>
    <w:p>
      <w:pPr>
        <w:bidi w:val="0"/>
        <w:jc w:val="center"/>
        <w:rPr>
          <w:rFonts w:hint="eastAsia"/>
          <w:color w:val="auto"/>
          <w:lang w:val="en-US" w:eastAsia="zh-CN"/>
        </w:rPr>
      </w:pPr>
      <w:r>
        <w:rPr>
          <w:rFonts w:hint="eastAsia"/>
          <w:color w:val="auto"/>
          <w:lang w:val="en-US" w:eastAsia="zh-CN"/>
        </w:rPr>
        <w:t>表3-31 贵阳市、开发区能效水平数据表</w:t>
      </w:r>
    </w:p>
    <w:tbl>
      <w:tblPr>
        <w:tblStyle w:val="11"/>
        <w:tblW w:w="0" w:type="auto"/>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16"/>
        <w:gridCol w:w="1973"/>
        <w:gridCol w:w="1973"/>
        <w:gridCol w:w="1408"/>
        <w:gridCol w:w="17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行业</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贵阳市2020年工业增加值能耗（tce/万元）</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开发区2020年工业增加值能耗（tce/万元）</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采用基准值（tce/万元）</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磷系新材料</w:t>
            </w: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2.98</w:t>
            </w:r>
          </w:p>
        </w:tc>
        <w:tc>
          <w:tcPr>
            <w:tcW w:w="1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4.83</w:t>
            </w:r>
          </w:p>
        </w:tc>
        <w:tc>
          <w:tcPr>
            <w:tcW w:w="1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2.98</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采用贵阳市指标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氯碱化工</w:t>
            </w: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3.59</w:t>
            </w:r>
          </w:p>
        </w:tc>
        <w:tc>
          <w:tcPr>
            <w:tcW w:w="1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0.77</w:t>
            </w:r>
          </w:p>
        </w:tc>
        <w:tc>
          <w:tcPr>
            <w:tcW w:w="1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0.77</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采用开发区指标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氟材料</w:t>
            </w: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3.59</w:t>
            </w:r>
          </w:p>
        </w:tc>
        <w:tc>
          <w:tcPr>
            <w:tcW w:w="1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0.69</w:t>
            </w:r>
          </w:p>
        </w:tc>
        <w:tc>
          <w:tcPr>
            <w:tcW w:w="1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0.69</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采用开发区指标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钛材料</w:t>
            </w: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2.41</w:t>
            </w:r>
          </w:p>
        </w:tc>
        <w:tc>
          <w:tcPr>
            <w:tcW w:w="1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2.03</w:t>
            </w:r>
          </w:p>
        </w:tc>
        <w:tc>
          <w:tcPr>
            <w:tcW w:w="1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2.03</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采用开发区指标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储能产业</w:t>
            </w: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0.33</w:t>
            </w:r>
          </w:p>
        </w:tc>
        <w:tc>
          <w:tcPr>
            <w:tcW w:w="1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1.15</w:t>
            </w:r>
          </w:p>
        </w:tc>
        <w:tc>
          <w:tcPr>
            <w:tcW w:w="1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1.15</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采用开发区指标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铝基新材料</w:t>
            </w: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2.61</w:t>
            </w:r>
          </w:p>
        </w:tc>
        <w:tc>
          <w:tcPr>
            <w:tcW w:w="1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15.39</w:t>
            </w:r>
          </w:p>
        </w:tc>
        <w:tc>
          <w:tcPr>
            <w:tcW w:w="1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2.61</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采用贵阳市指标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新型建材</w:t>
            </w: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2.87</w:t>
            </w:r>
          </w:p>
        </w:tc>
        <w:tc>
          <w:tcPr>
            <w:tcW w:w="1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8.18</w:t>
            </w:r>
          </w:p>
        </w:tc>
        <w:tc>
          <w:tcPr>
            <w:tcW w:w="1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2.87</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采用贵阳市指标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特色农产品</w:t>
            </w: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0.14</w:t>
            </w:r>
          </w:p>
        </w:tc>
        <w:tc>
          <w:tcPr>
            <w:tcW w:w="1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0.22</w:t>
            </w:r>
          </w:p>
        </w:tc>
        <w:tc>
          <w:tcPr>
            <w:tcW w:w="1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0.22</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采用开发区指标</w:t>
            </w:r>
          </w:p>
        </w:tc>
      </w:tr>
    </w:tbl>
    <w:p>
      <w:pPr>
        <w:bidi w:val="0"/>
        <w:jc w:val="center"/>
        <w:rPr>
          <w:rFonts w:hint="eastAsia"/>
          <w:color w:val="auto"/>
          <w:lang w:val="en-US" w:eastAsia="zh-CN"/>
        </w:rPr>
      </w:pPr>
      <w:r>
        <w:rPr>
          <w:rFonts w:hint="eastAsia"/>
          <w:color w:val="auto"/>
          <w:lang w:val="en-US" w:eastAsia="zh-CN"/>
        </w:rPr>
        <w:t>表3-31 开发区能效水平数据表</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93"/>
        <w:gridCol w:w="1742"/>
        <w:gridCol w:w="1055"/>
        <w:gridCol w:w="1055"/>
        <w:gridCol w:w="1055"/>
        <w:gridCol w:w="1055"/>
        <w:gridCol w:w="10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blHeader/>
        </w:trPr>
        <w:tc>
          <w:tcPr>
            <w:tcW w:w="87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行业</w:t>
            </w:r>
          </w:p>
        </w:tc>
        <w:tc>
          <w:tcPr>
            <w:tcW w:w="102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采用基准值</w:t>
            </w:r>
          </w:p>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（tce/万元）</w:t>
            </w:r>
          </w:p>
        </w:tc>
        <w:tc>
          <w:tcPr>
            <w:tcW w:w="31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区域工业增加值能耗预计值（</w:t>
            </w:r>
            <w:r>
              <w:rPr>
                <w:rFonts w:hint="default" w:ascii="宋体" w:hAnsi="宋体" w:eastAsia="宋体" w:cs="宋体"/>
                <w:i w:val="0"/>
                <w:iCs w:val="0"/>
                <w:color w:val="auto"/>
                <w:kern w:val="0"/>
                <w:sz w:val="22"/>
                <w:szCs w:val="22"/>
                <w:u w:val="none"/>
                <w:lang w:val="en-US" w:eastAsia="zh-CN" w:bidi="ar"/>
              </w:rPr>
              <w:t>tce/</w:t>
            </w:r>
            <w:r>
              <w:rPr>
                <w:rFonts w:hint="eastAsia" w:ascii="宋体" w:hAnsi="宋体" w:eastAsia="宋体" w:cs="宋体"/>
                <w:i w:val="0"/>
                <w:iCs w:val="0"/>
                <w:color w:val="auto"/>
                <w:kern w:val="0"/>
                <w:sz w:val="22"/>
                <w:szCs w:val="22"/>
                <w:u w:val="none"/>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blHeader/>
        </w:trPr>
        <w:tc>
          <w:tcPr>
            <w:tcW w:w="8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p>
        </w:tc>
        <w:tc>
          <w:tcPr>
            <w:tcW w:w="10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2021</w:t>
            </w:r>
            <w:r>
              <w:rPr>
                <w:rFonts w:hint="eastAsia" w:ascii="宋体" w:hAnsi="宋体" w:eastAsia="宋体" w:cs="宋体"/>
                <w:i w:val="0"/>
                <w:iCs w:val="0"/>
                <w:color w:val="auto"/>
                <w:kern w:val="0"/>
                <w:sz w:val="22"/>
                <w:szCs w:val="22"/>
                <w:u w:val="none"/>
                <w:lang w:val="en-US" w:eastAsia="zh-CN" w:bidi="ar"/>
              </w:rPr>
              <w:t>年</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2022</w:t>
            </w:r>
            <w:r>
              <w:rPr>
                <w:rFonts w:hint="eastAsia" w:ascii="宋体" w:hAnsi="宋体" w:eastAsia="宋体" w:cs="宋体"/>
                <w:i w:val="0"/>
                <w:iCs w:val="0"/>
                <w:color w:val="auto"/>
                <w:kern w:val="0"/>
                <w:sz w:val="22"/>
                <w:szCs w:val="22"/>
                <w:u w:val="none"/>
                <w:lang w:val="en-US" w:eastAsia="zh-CN" w:bidi="ar"/>
              </w:rPr>
              <w:t>年</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2023</w:t>
            </w:r>
            <w:r>
              <w:rPr>
                <w:rFonts w:hint="eastAsia" w:ascii="宋体" w:hAnsi="宋体" w:eastAsia="宋体" w:cs="宋体"/>
                <w:i w:val="0"/>
                <w:iCs w:val="0"/>
                <w:color w:val="auto"/>
                <w:kern w:val="0"/>
                <w:sz w:val="22"/>
                <w:szCs w:val="22"/>
                <w:u w:val="none"/>
                <w:lang w:val="en-US" w:eastAsia="zh-CN" w:bidi="ar"/>
              </w:rPr>
              <w:t>年</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2024</w:t>
            </w:r>
            <w:r>
              <w:rPr>
                <w:rFonts w:hint="eastAsia" w:ascii="宋体" w:hAnsi="宋体" w:eastAsia="宋体" w:cs="宋体"/>
                <w:i w:val="0"/>
                <w:iCs w:val="0"/>
                <w:color w:val="auto"/>
                <w:kern w:val="0"/>
                <w:sz w:val="22"/>
                <w:szCs w:val="22"/>
                <w:u w:val="none"/>
                <w:lang w:val="en-US" w:eastAsia="zh-CN" w:bidi="ar"/>
              </w:rPr>
              <w:t>年</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2025</w:t>
            </w:r>
            <w:r>
              <w:rPr>
                <w:rFonts w:hint="eastAsia" w:ascii="宋体" w:hAnsi="宋体" w:eastAsia="宋体" w:cs="宋体"/>
                <w:i w:val="0"/>
                <w:iCs w:val="0"/>
                <w:color w:val="auto"/>
                <w:kern w:val="0"/>
                <w:sz w:val="22"/>
                <w:szCs w:val="22"/>
                <w:u w:val="none"/>
                <w:lang w:val="en-US" w:eastAsia="zh-CN" w:bidi="ar"/>
              </w:rPr>
              <w:t>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磷系新材料</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2.98</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2.801</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2.633</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2.475</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2.327</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2.187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氯碱化工</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0.77</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0.724</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0.681</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0.64</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0.602</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0.566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氟材料</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0.69</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0.69</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0.649</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0.61</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0.573</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0.539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钛材料</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2.03</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1.908</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1.794</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1.686</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1.585</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1.49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储能产业</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1.15</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1.081</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1.016</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0.955</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0.898</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0.844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铝基新材料</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2.61</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2.453</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2.306</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2.168</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2.038</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1.916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新型建材</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2.87</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2.698</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2.536</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2.384</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2.241</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2.107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特色农产品</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0.22</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0.207</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0.195</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0.183</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0.172</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0.162</w:t>
            </w:r>
          </w:p>
        </w:tc>
      </w:tr>
    </w:tbl>
    <w:p>
      <w:pPr>
        <w:bidi w:val="0"/>
        <w:rPr>
          <w:rFonts w:hint="eastAsia"/>
          <w:color w:val="auto"/>
          <w:lang w:val="en-US" w:eastAsia="zh-CN"/>
        </w:rPr>
      </w:pPr>
    </w:p>
    <w:p>
      <w:pPr>
        <w:pStyle w:val="3"/>
        <w:bidi w:val="0"/>
        <w:rPr>
          <w:rFonts w:hint="default"/>
          <w:color w:val="auto"/>
          <w:lang w:val="en-US" w:eastAsia="zh-CN"/>
        </w:rPr>
      </w:pPr>
      <w:bookmarkStart w:id="32" w:name="_Toc21285"/>
      <w:r>
        <w:rPr>
          <w:rFonts w:hint="eastAsia"/>
          <w:color w:val="auto"/>
          <w:lang w:val="en-US" w:eastAsia="zh-CN"/>
        </w:rPr>
        <w:t>3.3 区域能耗估算</w:t>
      </w:r>
      <w:bookmarkEnd w:id="32"/>
    </w:p>
    <w:p>
      <w:pPr>
        <w:rPr>
          <w:rFonts w:hint="eastAsia"/>
          <w:color w:val="auto"/>
          <w:lang w:val="en-US" w:eastAsia="zh-CN"/>
        </w:rPr>
      </w:pPr>
      <w:r>
        <w:rPr>
          <w:rFonts w:hint="eastAsia"/>
          <w:color w:val="auto"/>
          <w:lang w:val="en-US" w:eastAsia="zh-CN"/>
        </w:rPr>
        <w:t>区域总能耗的测算，包含开发区内生产能耗（生产能耗包括新增部分及原有部分总能耗），其它非规上企业能耗和附属办公能耗。</w:t>
      </w:r>
    </w:p>
    <w:p>
      <w:pPr>
        <w:rPr>
          <w:rFonts w:hint="eastAsia"/>
          <w:color w:val="auto"/>
          <w:lang w:val="en-US" w:eastAsia="zh-CN"/>
        </w:rPr>
      </w:pPr>
      <w:r>
        <w:rPr>
          <w:rFonts w:hint="eastAsia"/>
          <w:color w:val="auto"/>
          <w:lang w:val="en-US" w:eastAsia="zh-CN"/>
        </w:rPr>
        <w:t>1、主要生产能耗测算</w:t>
      </w:r>
    </w:p>
    <w:p>
      <w:pPr>
        <w:rPr>
          <w:rFonts w:hint="eastAsia"/>
          <w:color w:val="auto"/>
          <w:lang w:val="en-US" w:eastAsia="zh-CN"/>
        </w:rPr>
      </w:pPr>
      <w:r>
        <w:rPr>
          <w:rFonts w:hint="eastAsia"/>
          <w:color w:val="auto"/>
          <w:lang w:val="en-US" w:eastAsia="zh-CN"/>
        </w:rPr>
        <w:t>开发区生产能耗拟通过已确定的区域工业增加值目标与行业能效水平进行测算，主要依据拟入驻项目工业产值和增加值、未开发土地预测工业产值和增加值进行测算。</w:t>
      </w:r>
    </w:p>
    <w:p>
      <w:pPr>
        <w:rPr>
          <w:rFonts w:hint="default"/>
          <w:color w:val="auto"/>
          <w:lang w:val="en-US" w:eastAsia="zh-CN"/>
        </w:rPr>
      </w:pPr>
      <w:r>
        <w:rPr>
          <w:rFonts w:hint="eastAsia"/>
          <w:color w:val="auto"/>
          <w:lang w:val="en-US" w:eastAsia="zh-CN"/>
        </w:rPr>
        <w:t>其中未开发土地预测工业产值和增加值测算，考虑到区域内项目进驻的不确定性，拟依据项目入驻状况分为前快后慢发展模式、平均增长发展模式以及前慢后快发展模式三种情景进行测算，为区域年度“双控”目标的制定提供依据。下面就三种情景进行定义：</w:t>
      </w:r>
    </w:p>
    <w:p>
      <w:pPr>
        <w:rPr>
          <w:rFonts w:hint="eastAsia"/>
          <w:color w:val="auto"/>
          <w:lang w:val="en-US" w:eastAsia="zh-CN"/>
        </w:rPr>
      </w:pPr>
      <w:r>
        <w:rPr>
          <w:rFonts w:hint="eastAsia"/>
          <w:color w:val="auto"/>
          <w:lang w:val="en-US" w:eastAsia="zh-CN"/>
        </w:rPr>
        <w:t>前快后慢发展模式：在规划前期区域项目入驻速度超过预期，后期平稳增长直至达到预期目标。</w:t>
      </w:r>
    </w:p>
    <w:p>
      <w:pPr>
        <w:rPr>
          <w:rFonts w:hint="eastAsia"/>
          <w:color w:val="auto"/>
          <w:lang w:val="en-US" w:eastAsia="zh-CN"/>
        </w:rPr>
      </w:pPr>
      <w:r>
        <w:rPr>
          <w:rFonts w:hint="eastAsia"/>
          <w:color w:val="auto"/>
          <w:lang w:val="en-US" w:eastAsia="zh-CN"/>
        </w:rPr>
        <w:t>平均增长发展模式：在整个规划期内项目入驻速度基本持平，整个区域平稳发展直至达到预期目标。</w:t>
      </w:r>
    </w:p>
    <w:p>
      <w:pPr>
        <w:rPr>
          <w:rFonts w:hint="eastAsia"/>
          <w:color w:val="auto"/>
          <w:lang w:val="en-US" w:eastAsia="zh-CN"/>
        </w:rPr>
      </w:pPr>
      <w:r>
        <w:rPr>
          <w:rFonts w:hint="eastAsia"/>
          <w:color w:val="auto"/>
          <w:lang w:val="en-US" w:eastAsia="zh-CN"/>
        </w:rPr>
        <w:t>前慢后快发展模式：在规划前期区域项目入驻速度低于预期，后期快速发展直至达到预期目标。</w:t>
      </w:r>
    </w:p>
    <w:p>
      <w:pPr>
        <w:rPr>
          <w:rFonts w:hint="eastAsia"/>
          <w:color w:val="auto"/>
          <w:lang w:val="en-US" w:eastAsia="zh-CN"/>
        </w:rPr>
      </w:pPr>
      <w:r>
        <w:rPr>
          <w:rFonts w:hint="eastAsia"/>
          <w:color w:val="auto"/>
          <w:lang w:val="en-US" w:eastAsia="zh-CN"/>
        </w:rPr>
        <w:t>三种情景的具体发展速度如下表所示：</w:t>
      </w:r>
    </w:p>
    <w:p>
      <w:pPr>
        <w:jc w:val="center"/>
        <w:rPr>
          <w:rFonts w:hint="eastAsia"/>
          <w:color w:val="auto"/>
          <w:lang w:val="en-US" w:eastAsia="zh-CN"/>
        </w:rPr>
      </w:pPr>
      <w:r>
        <w:rPr>
          <w:rFonts w:hint="eastAsia"/>
          <w:color w:val="auto"/>
          <w:lang w:val="en-US" w:eastAsia="zh-CN"/>
        </w:rPr>
        <w:t>表3-32 未开发土地预测发展前景速度预测表</w:t>
      </w:r>
    </w:p>
    <w:tbl>
      <w:tblPr>
        <w:tblStyle w:val="11"/>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20"/>
        <w:gridCol w:w="1379"/>
        <w:gridCol w:w="1379"/>
        <w:gridCol w:w="1379"/>
        <w:gridCol w:w="1379"/>
        <w:gridCol w:w="13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5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发展情景</w:t>
            </w:r>
          </w:p>
        </w:tc>
        <w:tc>
          <w:tcPr>
            <w:tcW w:w="4048"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产值或增加值完成占比（%）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2021年</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2022年</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2023年</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2024年</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前快后慢</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u w:val="none"/>
                <w:lang w:val="en-US" w:eastAsia="zh-CN" w:bidi="ar"/>
              </w:rPr>
            </w:pPr>
            <w:r>
              <w:rPr>
                <w:rFonts w:hint="default" w:ascii="仿宋" w:hAnsi="仿宋" w:eastAsia="仿宋" w:cs="仿宋"/>
                <w:b w:val="0"/>
                <w:bCs w:val="0"/>
                <w:i w:val="0"/>
                <w:iCs w:val="0"/>
                <w:color w:val="auto"/>
                <w:kern w:val="0"/>
                <w:sz w:val="21"/>
                <w:szCs w:val="21"/>
                <w:u w:val="none"/>
                <w:lang w:val="en-US" w:eastAsia="zh-CN" w:bidi="ar"/>
              </w:rPr>
              <w:t>30</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u w:val="none"/>
                <w:lang w:val="en-US" w:eastAsia="zh-CN" w:bidi="ar"/>
              </w:rPr>
            </w:pPr>
            <w:r>
              <w:rPr>
                <w:rFonts w:hint="default" w:ascii="仿宋" w:hAnsi="仿宋" w:eastAsia="仿宋" w:cs="仿宋"/>
                <w:b w:val="0"/>
                <w:bCs w:val="0"/>
                <w:i w:val="0"/>
                <w:iCs w:val="0"/>
                <w:color w:val="auto"/>
                <w:kern w:val="0"/>
                <w:sz w:val="21"/>
                <w:szCs w:val="21"/>
                <w:u w:val="none"/>
                <w:lang w:val="en-US" w:eastAsia="zh-CN" w:bidi="ar"/>
              </w:rPr>
              <w:t>55</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u w:val="none"/>
                <w:lang w:val="en-US" w:eastAsia="zh-CN" w:bidi="ar"/>
              </w:rPr>
            </w:pPr>
            <w:r>
              <w:rPr>
                <w:rFonts w:hint="default" w:ascii="仿宋" w:hAnsi="仿宋" w:eastAsia="仿宋" w:cs="仿宋"/>
                <w:b w:val="0"/>
                <w:bCs w:val="0"/>
                <w:i w:val="0"/>
                <w:iCs w:val="0"/>
                <w:color w:val="auto"/>
                <w:kern w:val="0"/>
                <w:sz w:val="21"/>
                <w:szCs w:val="21"/>
                <w:u w:val="none"/>
                <w:lang w:val="en-US" w:eastAsia="zh-CN" w:bidi="ar"/>
              </w:rPr>
              <w:t>75</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u w:val="none"/>
                <w:lang w:val="en-US" w:eastAsia="zh-CN" w:bidi="ar"/>
              </w:rPr>
            </w:pPr>
            <w:r>
              <w:rPr>
                <w:rFonts w:hint="default" w:ascii="仿宋" w:hAnsi="仿宋" w:eastAsia="仿宋" w:cs="仿宋"/>
                <w:b w:val="0"/>
                <w:bCs w:val="0"/>
                <w:i w:val="0"/>
                <w:iCs w:val="0"/>
                <w:color w:val="auto"/>
                <w:kern w:val="0"/>
                <w:sz w:val="21"/>
                <w:szCs w:val="21"/>
                <w:u w:val="none"/>
                <w:lang w:val="en-US" w:eastAsia="zh-CN" w:bidi="ar"/>
              </w:rPr>
              <w:t>90</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u w:val="none"/>
                <w:lang w:val="en-US" w:eastAsia="zh-CN" w:bidi="ar"/>
              </w:rPr>
            </w:pPr>
            <w:r>
              <w:rPr>
                <w:rFonts w:hint="default" w:ascii="仿宋" w:hAnsi="仿宋" w:eastAsia="仿宋" w:cs="仿宋"/>
                <w:b w:val="0"/>
                <w:bCs w:val="0"/>
                <w:i w:val="0"/>
                <w:iCs w:val="0"/>
                <w:color w:val="auto"/>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平均增长</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u w:val="none"/>
                <w:lang w:val="en-US" w:eastAsia="zh-CN" w:bidi="ar"/>
              </w:rPr>
            </w:pPr>
            <w:r>
              <w:rPr>
                <w:rFonts w:hint="default" w:ascii="仿宋" w:hAnsi="仿宋" w:eastAsia="仿宋" w:cs="仿宋"/>
                <w:b w:val="0"/>
                <w:bCs w:val="0"/>
                <w:i w:val="0"/>
                <w:iCs w:val="0"/>
                <w:color w:val="auto"/>
                <w:kern w:val="0"/>
                <w:sz w:val="21"/>
                <w:szCs w:val="21"/>
                <w:u w:val="none"/>
                <w:lang w:val="en-US" w:eastAsia="zh-CN" w:bidi="ar"/>
              </w:rPr>
              <w:t>20</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u w:val="none"/>
                <w:lang w:val="en-US" w:eastAsia="zh-CN" w:bidi="ar"/>
              </w:rPr>
            </w:pPr>
            <w:r>
              <w:rPr>
                <w:rFonts w:hint="default" w:ascii="仿宋" w:hAnsi="仿宋" w:eastAsia="仿宋" w:cs="仿宋"/>
                <w:b w:val="0"/>
                <w:bCs w:val="0"/>
                <w:i w:val="0"/>
                <w:iCs w:val="0"/>
                <w:color w:val="auto"/>
                <w:kern w:val="0"/>
                <w:sz w:val="21"/>
                <w:szCs w:val="21"/>
                <w:u w:val="none"/>
                <w:lang w:val="en-US" w:eastAsia="zh-CN" w:bidi="ar"/>
              </w:rPr>
              <w:t>40</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u w:val="none"/>
                <w:lang w:val="en-US" w:eastAsia="zh-CN" w:bidi="ar"/>
              </w:rPr>
            </w:pPr>
            <w:r>
              <w:rPr>
                <w:rFonts w:hint="default" w:ascii="仿宋" w:hAnsi="仿宋" w:eastAsia="仿宋" w:cs="仿宋"/>
                <w:b w:val="0"/>
                <w:bCs w:val="0"/>
                <w:i w:val="0"/>
                <w:iCs w:val="0"/>
                <w:color w:val="auto"/>
                <w:kern w:val="0"/>
                <w:sz w:val="21"/>
                <w:szCs w:val="21"/>
                <w:u w:val="none"/>
                <w:lang w:val="en-US" w:eastAsia="zh-CN" w:bidi="ar"/>
              </w:rPr>
              <w:t>60</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u w:val="none"/>
                <w:lang w:val="en-US" w:eastAsia="zh-CN" w:bidi="ar"/>
              </w:rPr>
            </w:pPr>
            <w:r>
              <w:rPr>
                <w:rFonts w:hint="default" w:ascii="仿宋" w:hAnsi="仿宋" w:eastAsia="仿宋" w:cs="仿宋"/>
                <w:b w:val="0"/>
                <w:bCs w:val="0"/>
                <w:i w:val="0"/>
                <w:iCs w:val="0"/>
                <w:color w:val="auto"/>
                <w:kern w:val="0"/>
                <w:sz w:val="21"/>
                <w:szCs w:val="21"/>
                <w:u w:val="none"/>
                <w:lang w:val="en-US" w:eastAsia="zh-CN" w:bidi="ar"/>
              </w:rPr>
              <w:t>80</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u w:val="none"/>
                <w:lang w:val="en-US" w:eastAsia="zh-CN" w:bidi="ar"/>
              </w:rPr>
            </w:pPr>
            <w:r>
              <w:rPr>
                <w:rFonts w:hint="default" w:ascii="仿宋" w:hAnsi="仿宋" w:eastAsia="仿宋" w:cs="仿宋"/>
                <w:b w:val="0"/>
                <w:bCs w:val="0"/>
                <w:i w:val="0"/>
                <w:iCs w:val="0"/>
                <w:color w:val="auto"/>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前慢后快</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u w:val="none"/>
                <w:lang w:val="en-US" w:eastAsia="zh-CN" w:bidi="ar"/>
              </w:rPr>
            </w:pPr>
            <w:r>
              <w:rPr>
                <w:rFonts w:hint="default" w:ascii="仿宋" w:hAnsi="仿宋" w:eastAsia="仿宋" w:cs="仿宋"/>
                <w:b w:val="0"/>
                <w:bCs w:val="0"/>
                <w:i w:val="0"/>
                <w:iCs w:val="0"/>
                <w:color w:val="auto"/>
                <w:kern w:val="0"/>
                <w:sz w:val="21"/>
                <w:szCs w:val="21"/>
                <w:u w:val="none"/>
                <w:lang w:val="en-US" w:eastAsia="zh-CN" w:bidi="ar"/>
              </w:rPr>
              <w:t>10</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u w:val="none"/>
                <w:lang w:val="en-US" w:eastAsia="zh-CN" w:bidi="ar"/>
              </w:rPr>
            </w:pPr>
            <w:r>
              <w:rPr>
                <w:rFonts w:hint="default" w:ascii="仿宋" w:hAnsi="仿宋" w:eastAsia="仿宋" w:cs="仿宋"/>
                <w:b w:val="0"/>
                <w:bCs w:val="0"/>
                <w:i w:val="0"/>
                <w:iCs w:val="0"/>
                <w:color w:val="auto"/>
                <w:kern w:val="0"/>
                <w:sz w:val="21"/>
                <w:szCs w:val="21"/>
                <w:u w:val="none"/>
                <w:lang w:val="en-US" w:eastAsia="zh-CN" w:bidi="ar"/>
              </w:rPr>
              <w:t>25</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u w:val="none"/>
                <w:lang w:val="en-US" w:eastAsia="zh-CN" w:bidi="ar"/>
              </w:rPr>
            </w:pPr>
            <w:r>
              <w:rPr>
                <w:rFonts w:hint="default" w:ascii="仿宋" w:hAnsi="仿宋" w:eastAsia="仿宋" w:cs="仿宋"/>
                <w:b w:val="0"/>
                <w:bCs w:val="0"/>
                <w:i w:val="0"/>
                <w:iCs w:val="0"/>
                <w:color w:val="auto"/>
                <w:kern w:val="0"/>
                <w:sz w:val="21"/>
                <w:szCs w:val="21"/>
                <w:u w:val="none"/>
                <w:lang w:val="en-US" w:eastAsia="zh-CN" w:bidi="ar"/>
              </w:rPr>
              <w:t>45</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u w:val="none"/>
                <w:lang w:val="en-US" w:eastAsia="zh-CN" w:bidi="ar"/>
              </w:rPr>
            </w:pPr>
            <w:r>
              <w:rPr>
                <w:rFonts w:hint="default" w:ascii="仿宋" w:hAnsi="仿宋" w:eastAsia="仿宋" w:cs="仿宋"/>
                <w:b w:val="0"/>
                <w:bCs w:val="0"/>
                <w:i w:val="0"/>
                <w:iCs w:val="0"/>
                <w:color w:val="auto"/>
                <w:kern w:val="0"/>
                <w:sz w:val="21"/>
                <w:szCs w:val="21"/>
                <w:u w:val="none"/>
                <w:lang w:val="en-US" w:eastAsia="zh-CN" w:bidi="ar"/>
              </w:rPr>
              <w:t>70</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u w:val="none"/>
                <w:lang w:val="en-US" w:eastAsia="zh-CN" w:bidi="ar"/>
              </w:rPr>
            </w:pPr>
            <w:r>
              <w:rPr>
                <w:rFonts w:hint="default" w:ascii="仿宋" w:hAnsi="仿宋" w:eastAsia="仿宋" w:cs="仿宋"/>
                <w:b w:val="0"/>
                <w:bCs w:val="0"/>
                <w:i w:val="0"/>
                <w:iCs w:val="0"/>
                <w:color w:val="auto"/>
                <w:kern w:val="0"/>
                <w:sz w:val="21"/>
                <w:szCs w:val="21"/>
                <w:u w:val="none"/>
                <w:lang w:val="en-US" w:eastAsia="zh-CN" w:bidi="ar"/>
              </w:rPr>
              <w:t>100</w:t>
            </w:r>
          </w:p>
        </w:tc>
      </w:tr>
    </w:tbl>
    <w:p>
      <w:pPr>
        <w:rPr>
          <w:rFonts w:hint="eastAsia"/>
          <w:color w:val="auto"/>
          <w:lang w:val="en-US" w:eastAsia="zh-CN"/>
        </w:rPr>
      </w:pPr>
      <w:r>
        <w:rPr>
          <w:rFonts w:hint="eastAsia"/>
          <w:color w:val="auto"/>
          <w:lang w:val="en-US" w:eastAsia="zh-CN"/>
        </w:rPr>
        <w:t>依据发展进度的不同，分三种情景对区域的能耗总量及年度能耗增长状况进行测算，测算过程及结果如下表所示：</w:t>
      </w:r>
    </w:p>
    <w:p>
      <w:pPr>
        <w:bidi w:val="0"/>
        <w:rPr>
          <w:rFonts w:hint="eastAsia"/>
          <w:color w:val="auto"/>
          <w:lang w:val="en-US" w:eastAsia="zh-CN"/>
        </w:rPr>
      </w:pPr>
      <w:r>
        <w:rPr>
          <w:rFonts w:hint="eastAsia"/>
          <w:color w:val="auto"/>
          <w:lang w:val="en-US" w:eastAsia="zh-CN"/>
        </w:rPr>
        <w:t>（1）氯碱化工</w:t>
      </w:r>
    </w:p>
    <w:p>
      <w:pPr>
        <w:rPr>
          <w:rFonts w:hint="eastAsia"/>
          <w:color w:val="auto"/>
          <w:lang w:val="en-US" w:eastAsia="zh-CN"/>
        </w:rPr>
      </w:pPr>
      <w:r>
        <w:rPr>
          <w:rFonts w:hint="eastAsia"/>
          <w:color w:val="auto"/>
          <w:lang w:val="en-US" w:eastAsia="zh-CN"/>
        </w:rPr>
        <w:t>表3-34 未开发土地预测（氯碱化工）发展前景预测表</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2"/>
        <w:gridCol w:w="2126"/>
        <w:gridCol w:w="979"/>
        <w:gridCol w:w="1083"/>
        <w:gridCol w:w="1083"/>
        <w:gridCol w:w="1083"/>
        <w:gridCol w:w="10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5" w:type="pct"/>
            <w:vMerge w:val="restar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发展情景</w:t>
            </w:r>
          </w:p>
        </w:tc>
        <w:tc>
          <w:tcPr>
            <w:tcW w:w="1247" w:type="pct"/>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工业增加值能耗</w:t>
            </w:r>
          </w:p>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w:t>
            </w:r>
            <w:r>
              <w:rPr>
                <w:rFonts w:hint="default" w:ascii="仿宋" w:hAnsi="仿宋" w:eastAsia="仿宋" w:cs="仿宋"/>
                <w:b w:val="0"/>
                <w:bCs w:val="0"/>
                <w:i w:val="0"/>
                <w:iCs w:val="0"/>
                <w:color w:val="auto"/>
                <w:kern w:val="0"/>
                <w:sz w:val="18"/>
                <w:szCs w:val="18"/>
                <w:u w:val="none"/>
                <w:lang w:val="en-US" w:eastAsia="zh-CN" w:bidi="ar"/>
              </w:rPr>
              <w:t>tce/</w:t>
            </w:r>
            <w:r>
              <w:rPr>
                <w:rFonts w:hint="eastAsia" w:ascii="仿宋" w:hAnsi="仿宋" w:eastAsia="仿宋" w:cs="仿宋"/>
                <w:b w:val="0"/>
                <w:bCs w:val="0"/>
                <w:i w:val="0"/>
                <w:iCs w:val="0"/>
                <w:color w:val="auto"/>
                <w:kern w:val="0"/>
                <w:sz w:val="18"/>
                <w:szCs w:val="18"/>
                <w:u w:val="none"/>
                <w:lang w:val="en-US" w:eastAsia="zh-CN" w:bidi="ar"/>
              </w:rPr>
              <w:t>万元）</w:t>
            </w: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2021</w:t>
            </w:r>
            <w:r>
              <w:rPr>
                <w:rFonts w:hint="eastAsia" w:ascii="仿宋" w:hAnsi="仿宋" w:eastAsia="仿宋" w:cs="仿宋"/>
                <w:b w:val="0"/>
                <w:bCs w:val="0"/>
                <w:i w:val="0"/>
                <w:iCs w:val="0"/>
                <w:color w:val="auto"/>
                <w:kern w:val="0"/>
                <w:sz w:val="18"/>
                <w:szCs w:val="18"/>
                <w:u w:val="none"/>
                <w:lang w:val="en-US" w:eastAsia="zh-CN" w:bidi="ar"/>
              </w:rPr>
              <w:t>年</w:t>
            </w: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2022</w:t>
            </w:r>
            <w:r>
              <w:rPr>
                <w:rFonts w:hint="eastAsia" w:ascii="仿宋" w:hAnsi="仿宋" w:eastAsia="仿宋" w:cs="仿宋"/>
                <w:b w:val="0"/>
                <w:bCs w:val="0"/>
                <w:i w:val="0"/>
                <w:iCs w:val="0"/>
                <w:color w:val="auto"/>
                <w:kern w:val="0"/>
                <w:sz w:val="18"/>
                <w:szCs w:val="18"/>
                <w:u w:val="none"/>
                <w:lang w:val="en-US" w:eastAsia="zh-CN" w:bidi="ar"/>
              </w:rPr>
              <w:t>年</w:t>
            </w: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2023</w:t>
            </w:r>
            <w:r>
              <w:rPr>
                <w:rFonts w:hint="eastAsia" w:ascii="仿宋" w:hAnsi="仿宋" w:eastAsia="仿宋" w:cs="仿宋"/>
                <w:b w:val="0"/>
                <w:bCs w:val="0"/>
                <w:i w:val="0"/>
                <w:iCs w:val="0"/>
                <w:color w:val="auto"/>
                <w:kern w:val="0"/>
                <w:sz w:val="18"/>
                <w:szCs w:val="18"/>
                <w:u w:val="none"/>
                <w:lang w:val="en-US" w:eastAsia="zh-CN" w:bidi="ar"/>
              </w:rPr>
              <w:t>年</w:t>
            </w: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2024</w:t>
            </w:r>
            <w:r>
              <w:rPr>
                <w:rFonts w:hint="eastAsia" w:ascii="仿宋" w:hAnsi="仿宋" w:eastAsia="仿宋" w:cs="仿宋"/>
                <w:b w:val="0"/>
                <w:bCs w:val="0"/>
                <w:i w:val="0"/>
                <w:iCs w:val="0"/>
                <w:color w:val="auto"/>
                <w:kern w:val="0"/>
                <w:sz w:val="18"/>
                <w:szCs w:val="18"/>
                <w:u w:val="none"/>
                <w:lang w:val="en-US" w:eastAsia="zh-CN" w:bidi="ar"/>
              </w:rPr>
              <w:t>年</w:t>
            </w: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2025</w:t>
            </w:r>
            <w:r>
              <w:rPr>
                <w:rFonts w:hint="eastAsia" w:ascii="仿宋" w:hAnsi="仿宋" w:eastAsia="仿宋" w:cs="仿宋"/>
                <w:b w:val="0"/>
                <w:bCs w:val="0"/>
                <w:i w:val="0"/>
                <w:iCs w:val="0"/>
                <w:color w:val="auto"/>
                <w:kern w:val="0"/>
                <w:sz w:val="18"/>
                <w:szCs w:val="18"/>
                <w:u w:val="none"/>
                <w:lang w:val="en-US" w:eastAsia="zh-CN" w:bidi="ar"/>
              </w:rPr>
              <w:t>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35" w:type="pct"/>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p>
        </w:tc>
        <w:tc>
          <w:tcPr>
            <w:tcW w:w="1247" w:type="pct"/>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0.724</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0.681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0.64</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0.602</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0.566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3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前快后慢</w:t>
            </w:r>
          </w:p>
        </w:tc>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工业增加值（万元）</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9174.21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16819.39</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22935.53</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27522.64</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30580.71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0" w:hRule="atLeast"/>
        </w:trPr>
        <w:tc>
          <w:tcPr>
            <w:tcW w:w="63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p>
        </w:tc>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行业能耗值（</w:t>
            </w:r>
            <w:r>
              <w:rPr>
                <w:rFonts w:hint="default" w:ascii="仿宋" w:hAnsi="仿宋" w:eastAsia="仿宋" w:cs="仿宋"/>
                <w:b w:val="0"/>
                <w:bCs w:val="0"/>
                <w:i w:val="0"/>
                <w:iCs w:val="0"/>
                <w:color w:val="auto"/>
                <w:kern w:val="0"/>
                <w:sz w:val="18"/>
                <w:szCs w:val="18"/>
                <w:u w:val="none"/>
                <w:lang w:val="en-US" w:eastAsia="zh-CN" w:bidi="ar"/>
              </w:rPr>
              <w:t>tce</w:t>
            </w:r>
            <w:r>
              <w:rPr>
                <w:rFonts w:hint="eastAsia" w:ascii="仿宋" w:hAnsi="仿宋" w:eastAsia="仿宋" w:cs="仿宋"/>
                <w:b w:val="0"/>
                <w:bCs w:val="0"/>
                <w:i w:val="0"/>
                <w:iCs w:val="0"/>
                <w:color w:val="auto"/>
                <w:kern w:val="0"/>
                <w:sz w:val="18"/>
                <w:szCs w:val="18"/>
                <w:u w:val="none"/>
                <w:lang w:val="en-US" w:eastAsia="zh-CN" w:bidi="ar"/>
              </w:rPr>
              <w:t>）</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6642.13</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11454</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14678.74</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16568.63</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17308.68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3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平均增长</w:t>
            </w:r>
          </w:p>
        </w:tc>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工业增加值（万元）</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6116.14</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12232.28</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18348.43</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24464.57</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30580.71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3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p>
        </w:tc>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行业能耗值（</w:t>
            </w:r>
            <w:r>
              <w:rPr>
                <w:rFonts w:hint="default" w:ascii="仿宋" w:hAnsi="仿宋" w:eastAsia="仿宋" w:cs="仿宋"/>
                <w:b w:val="0"/>
                <w:bCs w:val="0"/>
                <w:i w:val="0"/>
                <w:iCs w:val="0"/>
                <w:color w:val="auto"/>
                <w:kern w:val="0"/>
                <w:sz w:val="18"/>
                <w:szCs w:val="18"/>
                <w:u w:val="none"/>
                <w:lang w:val="en-US" w:eastAsia="zh-CN" w:bidi="ar"/>
              </w:rPr>
              <w:t>tce</w:t>
            </w:r>
            <w:r>
              <w:rPr>
                <w:rFonts w:hint="eastAsia" w:ascii="仿宋" w:hAnsi="仿宋" w:eastAsia="仿宋" w:cs="仿宋"/>
                <w:b w:val="0"/>
                <w:bCs w:val="0"/>
                <w:i w:val="0"/>
                <w:iCs w:val="0"/>
                <w:color w:val="auto"/>
                <w:kern w:val="0"/>
                <w:sz w:val="18"/>
                <w:szCs w:val="18"/>
                <w:u w:val="none"/>
                <w:lang w:val="en-US" w:eastAsia="zh-CN" w:bidi="ar"/>
              </w:rPr>
              <w:t>）</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4428.09</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8330.18</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11743</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14727.67</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17308.68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3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前慢后快</w:t>
            </w:r>
          </w:p>
        </w:tc>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工业增加值（万元）</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3058.07</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7645.18</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13761.32</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21406.5</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30580.71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0" w:hRule="atLeast"/>
        </w:trPr>
        <w:tc>
          <w:tcPr>
            <w:tcW w:w="63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p>
        </w:tc>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行业能耗值（</w:t>
            </w:r>
            <w:r>
              <w:rPr>
                <w:rFonts w:hint="default" w:ascii="仿宋" w:hAnsi="仿宋" w:eastAsia="仿宋" w:cs="仿宋"/>
                <w:b w:val="0"/>
                <w:bCs w:val="0"/>
                <w:i w:val="0"/>
                <w:iCs w:val="0"/>
                <w:color w:val="auto"/>
                <w:kern w:val="0"/>
                <w:sz w:val="18"/>
                <w:szCs w:val="18"/>
                <w:u w:val="none"/>
                <w:lang w:val="en-US" w:eastAsia="zh-CN" w:bidi="ar"/>
              </w:rPr>
              <w:t>tce</w:t>
            </w:r>
            <w:r>
              <w:rPr>
                <w:rFonts w:hint="eastAsia" w:ascii="仿宋" w:hAnsi="仿宋" w:eastAsia="仿宋" w:cs="仿宋"/>
                <w:b w:val="0"/>
                <w:bCs w:val="0"/>
                <w:i w:val="0"/>
                <w:iCs w:val="0"/>
                <w:color w:val="auto"/>
                <w:kern w:val="0"/>
                <w:sz w:val="18"/>
                <w:szCs w:val="18"/>
                <w:u w:val="none"/>
                <w:lang w:val="en-US" w:eastAsia="zh-CN" w:bidi="ar"/>
              </w:rPr>
              <w:t>）</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2214.04</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5206.37</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8807.24</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12886.71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17308.68</w:t>
            </w:r>
          </w:p>
        </w:tc>
      </w:tr>
    </w:tbl>
    <w:p>
      <w:pPr>
        <w:bidi w:val="0"/>
        <w:rPr>
          <w:rFonts w:hint="eastAsia"/>
          <w:color w:val="auto"/>
          <w:lang w:val="en-US" w:eastAsia="zh-CN"/>
        </w:rPr>
      </w:pPr>
      <w:r>
        <w:rPr>
          <w:rFonts w:hint="eastAsia"/>
          <w:color w:val="auto"/>
          <w:lang w:val="en-US" w:eastAsia="zh-CN"/>
        </w:rPr>
        <w:t>（2）氟材料</w:t>
      </w:r>
    </w:p>
    <w:p>
      <w:pPr>
        <w:rPr>
          <w:rFonts w:hint="eastAsia"/>
          <w:color w:val="auto"/>
          <w:lang w:val="en-US" w:eastAsia="zh-CN"/>
        </w:rPr>
      </w:pPr>
      <w:r>
        <w:rPr>
          <w:rFonts w:hint="eastAsia"/>
          <w:color w:val="auto"/>
          <w:lang w:val="en-US" w:eastAsia="zh-CN"/>
        </w:rPr>
        <w:t>表3-35 未开发土地预测（氟材料）发展前景预测表</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20"/>
        <w:gridCol w:w="2002"/>
        <w:gridCol w:w="1021"/>
        <w:gridCol w:w="1119"/>
        <w:gridCol w:w="1119"/>
        <w:gridCol w:w="1119"/>
        <w:gridCol w:w="11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9" w:type="pct"/>
            <w:vMerge w:val="restar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发展情景</w:t>
            </w:r>
          </w:p>
        </w:tc>
        <w:tc>
          <w:tcPr>
            <w:tcW w:w="1174" w:type="pct"/>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工业增加值能耗</w:t>
            </w:r>
          </w:p>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w:t>
            </w:r>
            <w:r>
              <w:rPr>
                <w:rFonts w:hint="default" w:ascii="仿宋" w:hAnsi="仿宋" w:eastAsia="仿宋" w:cs="仿宋"/>
                <w:b w:val="0"/>
                <w:bCs w:val="0"/>
                <w:i w:val="0"/>
                <w:iCs w:val="0"/>
                <w:color w:val="auto"/>
                <w:kern w:val="0"/>
                <w:sz w:val="18"/>
                <w:szCs w:val="18"/>
                <w:u w:val="none"/>
                <w:lang w:val="en-US" w:eastAsia="zh-CN" w:bidi="ar"/>
              </w:rPr>
              <w:t>tce/</w:t>
            </w:r>
            <w:r>
              <w:rPr>
                <w:rFonts w:hint="eastAsia" w:ascii="仿宋" w:hAnsi="仿宋" w:eastAsia="仿宋" w:cs="仿宋"/>
                <w:b w:val="0"/>
                <w:bCs w:val="0"/>
                <w:i w:val="0"/>
                <w:iCs w:val="0"/>
                <w:color w:val="auto"/>
                <w:kern w:val="0"/>
                <w:sz w:val="18"/>
                <w:szCs w:val="18"/>
                <w:u w:val="none"/>
                <w:lang w:val="en-US" w:eastAsia="zh-CN" w:bidi="ar"/>
              </w:rPr>
              <w:t>万元）</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2021</w:t>
            </w:r>
            <w:r>
              <w:rPr>
                <w:rFonts w:hint="eastAsia" w:ascii="仿宋" w:hAnsi="仿宋" w:eastAsia="仿宋" w:cs="仿宋"/>
                <w:b w:val="0"/>
                <w:bCs w:val="0"/>
                <w:i w:val="0"/>
                <w:iCs w:val="0"/>
                <w:color w:val="auto"/>
                <w:kern w:val="0"/>
                <w:sz w:val="18"/>
                <w:szCs w:val="18"/>
                <w:u w:val="none"/>
                <w:lang w:val="en-US" w:eastAsia="zh-CN" w:bidi="ar"/>
              </w:rPr>
              <w:t>年</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2022</w:t>
            </w:r>
            <w:r>
              <w:rPr>
                <w:rFonts w:hint="eastAsia" w:ascii="仿宋" w:hAnsi="仿宋" w:eastAsia="仿宋" w:cs="仿宋"/>
                <w:b w:val="0"/>
                <w:bCs w:val="0"/>
                <w:i w:val="0"/>
                <w:iCs w:val="0"/>
                <w:color w:val="auto"/>
                <w:kern w:val="0"/>
                <w:sz w:val="18"/>
                <w:szCs w:val="18"/>
                <w:u w:val="none"/>
                <w:lang w:val="en-US" w:eastAsia="zh-CN" w:bidi="ar"/>
              </w:rPr>
              <w:t>年</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2023</w:t>
            </w:r>
            <w:r>
              <w:rPr>
                <w:rFonts w:hint="eastAsia" w:ascii="仿宋" w:hAnsi="仿宋" w:eastAsia="仿宋" w:cs="仿宋"/>
                <w:b w:val="0"/>
                <w:bCs w:val="0"/>
                <w:i w:val="0"/>
                <w:iCs w:val="0"/>
                <w:color w:val="auto"/>
                <w:kern w:val="0"/>
                <w:sz w:val="18"/>
                <w:szCs w:val="18"/>
                <w:u w:val="none"/>
                <w:lang w:val="en-US" w:eastAsia="zh-CN" w:bidi="ar"/>
              </w:rPr>
              <w:t>年</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2024</w:t>
            </w:r>
            <w:r>
              <w:rPr>
                <w:rFonts w:hint="eastAsia" w:ascii="仿宋" w:hAnsi="仿宋" w:eastAsia="仿宋" w:cs="仿宋"/>
                <w:b w:val="0"/>
                <w:bCs w:val="0"/>
                <w:i w:val="0"/>
                <w:iCs w:val="0"/>
                <w:color w:val="auto"/>
                <w:kern w:val="0"/>
                <w:sz w:val="18"/>
                <w:szCs w:val="18"/>
                <w:u w:val="none"/>
                <w:lang w:val="en-US" w:eastAsia="zh-CN" w:bidi="ar"/>
              </w:rPr>
              <w:t>年</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2025</w:t>
            </w:r>
            <w:r>
              <w:rPr>
                <w:rFonts w:hint="eastAsia" w:ascii="仿宋" w:hAnsi="仿宋" w:eastAsia="仿宋" w:cs="仿宋"/>
                <w:b w:val="0"/>
                <w:bCs w:val="0"/>
                <w:i w:val="0"/>
                <w:iCs w:val="0"/>
                <w:color w:val="auto"/>
                <w:kern w:val="0"/>
                <w:sz w:val="18"/>
                <w:szCs w:val="18"/>
                <w:u w:val="none"/>
                <w:lang w:val="en-US" w:eastAsia="zh-CN" w:bidi="ar"/>
              </w:rPr>
              <w:t>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99" w:type="pct"/>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p>
        </w:tc>
        <w:tc>
          <w:tcPr>
            <w:tcW w:w="1174" w:type="pct"/>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p>
        </w:tc>
        <w:tc>
          <w:tcPr>
            <w:tcW w:w="1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0.69</w:t>
            </w: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0.649</w:t>
            </w: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0.61</w:t>
            </w: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0.573</w:t>
            </w: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0.539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6" w:hRule="atLeast"/>
        </w:trPr>
        <w:tc>
          <w:tcPr>
            <w:tcW w:w="59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前快后慢</w:t>
            </w:r>
          </w:p>
        </w:tc>
        <w:tc>
          <w:tcPr>
            <w:tcW w:w="11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工业增加值（万元）</w:t>
            </w:r>
          </w:p>
        </w:tc>
        <w:tc>
          <w:tcPr>
            <w:tcW w:w="1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28211.43</w:t>
            </w: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51720.96</w:t>
            </w: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70528.58</w:t>
            </w: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84634.29</w:t>
            </w: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94038.1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p>
        </w:tc>
        <w:tc>
          <w:tcPr>
            <w:tcW w:w="11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行业能耗值（</w:t>
            </w:r>
            <w:r>
              <w:rPr>
                <w:rFonts w:hint="default" w:ascii="仿宋" w:hAnsi="仿宋" w:eastAsia="仿宋" w:cs="仿宋"/>
                <w:b w:val="0"/>
                <w:bCs w:val="0"/>
                <w:i w:val="0"/>
                <w:iCs w:val="0"/>
                <w:color w:val="auto"/>
                <w:kern w:val="0"/>
                <w:sz w:val="18"/>
                <w:szCs w:val="18"/>
                <w:u w:val="none"/>
                <w:lang w:val="en-US" w:eastAsia="zh-CN" w:bidi="ar"/>
              </w:rPr>
              <w:t>tce</w:t>
            </w:r>
            <w:r>
              <w:rPr>
                <w:rFonts w:hint="eastAsia" w:ascii="仿宋" w:hAnsi="仿宋" w:eastAsia="仿宋" w:cs="仿宋"/>
                <w:b w:val="0"/>
                <w:bCs w:val="0"/>
                <w:i w:val="0"/>
                <w:iCs w:val="0"/>
                <w:color w:val="auto"/>
                <w:kern w:val="0"/>
                <w:sz w:val="18"/>
                <w:szCs w:val="18"/>
                <w:u w:val="none"/>
                <w:lang w:val="en-US" w:eastAsia="zh-CN" w:bidi="ar"/>
              </w:rPr>
              <w:t>）</w:t>
            </w:r>
          </w:p>
        </w:tc>
        <w:tc>
          <w:tcPr>
            <w:tcW w:w="1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19465.89</w:t>
            </w: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33566.9</w:t>
            </w: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43022.43</w:t>
            </w: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48495.45</w:t>
            </w: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50686.54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9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平均增长</w:t>
            </w:r>
          </w:p>
        </w:tc>
        <w:tc>
          <w:tcPr>
            <w:tcW w:w="11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工业增加值（万元）</w:t>
            </w:r>
          </w:p>
        </w:tc>
        <w:tc>
          <w:tcPr>
            <w:tcW w:w="1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18807.62</w:t>
            </w: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37615.24</w:t>
            </w: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56422.86</w:t>
            </w: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75230.48</w:t>
            </w: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94038.1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p>
        </w:tc>
        <w:tc>
          <w:tcPr>
            <w:tcW w:w="11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行业能耗值（</w:t>
            </w:r>
            <w:r>
              <w:rPr>
                <w:rFonts w:hint="default" w:ascii="仿宋" w:hAnsi="仿宋" w:eastAsia="仿宋" w:cs="仿宋"/>
                <w:b w:val="0"/>
                <w:bCs w:val="0"/>
                <w:i w:val="0"/>
                <w:iCs w:val="0"/>
                <w:color w:val="auto"/>
                <w:kern w:val="0"/>
                <w:sz w:val="18"/>
                <w:szCs w:val="18"/>
                <w:u w:val="none"/>
                <w:lang w:val="en-US" w:eastAsia="zh-CN" w:bidi="ar"/>
              </w:rPr>
              <w:t>tce</w:t>
            </w:r>
            <w:r>
              <w:rPr>
                <w:rFonts w:hint="eastAsia" w:ascii="仿宋" w:hAnsi="仿宋" w:eastAsia="仿宋" w:cs="仿宋"/>
                <w:b w:val="0"/>
                <w:bCs w:val="0"/>
                <w:i w:val="0"/>
                <w:iCs w:val="0"/>
                <w:color w:val="auto"/>
                <w:kern w:val="0"/>
                <w:sz w:val="18"/>
                <w:szCs w:val="18"/>
                <w:u w:val="none"/>
                <w:lang w:val="en-US" w:eastAsia="zh-CN" w:bidi="ar"/>
              </w:rPr>
              <w:t>）</w:t>
            </w:r>
          </w:p>
        </w:tc>
        <w:tc>
          <w:tcPr>
            <w:tcW w:w="1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12977.26</w:t>
            </w: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24412.29</w:t>
            </w: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34417.94</w:t>
            </w: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43107.07</w:t>
            </w: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50686.54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9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前慢后快</w:t>
            </w:r>
          </w:p>
        </w:tc>
        <w:tc>
          <w:tcPr>
            <w:tcW w:w="11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工业增加值（万元）</w:t>
            </w:r>
          </w:p>
        </w:tc>
        <w:tc>
          <w:tcPr>
            <w:tcW w:w="1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9403.81</w:t>
            </w: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23509.53</w:t>
            </w: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42317.15</w:t>
            </w: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65826.67</w:t>
            </w: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94038.1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p>
        </w:tc>
        <w:tc>
          <w:tcPr>
            <w:tcW w:w="11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行业能耗值（</w:t>
            </w:r>
            <w:r>
              <w:rPr>
                <w:rFonts w:hint="default" w:ascii="仿宋" w:hAnsi="仿宋" w:eastAsia="仿宋" w:cs="仿宋"/>
                <w:b w:val="0"/>
                <w:bCs w:val="0"/>
                <w:i w:val="0"/>
                <w:iCs w:val="0"/>
                <w:color w:val="auto"/>
                <w:kern w:val="0"/>
                <w:sz w:val="18"/>
                <w:szCs w:val="18"/>
                <w:u w:val="none"/>
                <w:lang w:val="en-US" w:eastAsia="zh-CN" w:bidi="ar"/>
              </w:rPr>
              <w:t>tce</w:t>
            </w:r>
            <w:r>
              <w:rPr>
                <w:rFonts w:hint="eastAsia" w:ascii="仿宋" w:hAnsi="仿宋" w:eastAsia="仿宋" w:cs="仿宋"/>
                <w:b w:val="0"/>
                <w:bCs w:val="0"/>
                <w:i w:val="0"/>
                <w:iCs w:val="0"/>
                <w:color w:val="auto"/>
                <w:kern w:val="0"/>
                <w:sz w:val="18"/>
                <w:szCs w:val="18"/>
                <w:u w:val="none"/>
                <w:lang w:val="en-US" w:eastAsia="zh-CN" w:bidi="ar"/>
              </w:rPr>
              <w:t>）</w:t>
            </w:r>
          </w:p>
        </w:tc>
        <w:tc>
          <w:tcPr>
            <w:tcW w:w="1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6488.63</w:t>
            </w: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15257.68</w:t>
            </w: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25813.46</w:t>
            </w: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37718.68</w:t>
            </w: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50686.54</w:t>
            </w:r>
          </w:p>
        </w:tc>
      </w:tr>
    </w:tbl>
    <w:p>
      <w:pPr>
        <w:bidi w:val="0"/>
        <w:rPr>
          <w:rFonts w:hint="eastAsia"/>
          <w:color w:val="auto"/>
          <w:lang w:val="en-US" w:eastAsia="zh-CN"/>
        </w:rPr>
      </w:pPr>
      <w:r>
        <w:rPr>
          <w:rFonts w:hint="eastAsia"/>
          <w:color w:val="auto"/>
          <w:lang w:val="en-US" w:eastAsia="zh-CN"/>
        </w:rPr>
        <w:t>（3）钛材料</w:t>
      </w:r>
    </w:p>
    <w:p>
      <w:pPr>
        <w:jc w:val="center"/>
        <w:rPr>
          <w:rFonts w:hint="eastAsia"/>
          <w:color w:val="auto"/>
          <w:lang w:val="en-US" w:eastAsia="zh-CN"/>
        </w:rPr>
      </w:pPr>
      <w:r>
        <w:rPr>
          <w:rFonts w:hint="eastAsia"/>
          <w:color w:val="auto"/>
          <w:lang w:val="en-US" w:eastAsia="zh-CN"/>
        </w:rPr>
        <w:t>表3-36 未开发土地预测（钛材料）发展前景预测表</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09"/>
        <w:gridCol w:w="1980"/>
        <w:gridCol w:w="1106"/>
        <w:gridCol w:w="1106"/>
        <w:gridCol w:w="1106"/>
        <w:gridCol w:w="1106"/>
        <w:gridCol w:w="11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92" w:type="pct"/>
            <w:vMerge w:val="restar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发展情景</w:t>
            </w:r>
          </w:p>
        </w:tc>
        <w:tc>
          <w:tcPr>
            <w:tcW w:w="1162" w:type="pct"/>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工业增加值能耗</w:t>
            </w:r>
          </w:p>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w:t>
            </w:r>
            <w:r>
              <w:rPr>
                <w:rFonts w:hint="default" w:ascii="仿宋" w:hAnsi="仿宋" w:eastAsia="仿宋" w:cs="仿宋"/>
                <w:b w:val="0"/>
                <w:bCs w:val="0"/>
                <w:i w:val="0"/>
                <w:iCs w:val="0"/>
                <w:color w:val="auto"/>
                <w:kern w:val="0"/>
                <w:sz w:val="18"/>
                <w:szCs w:val="18"/>
                <w:u w:val="none"/>
                <w:lang w:val="en-US" w:eastAsia="zh-CN" w:bidi="ar"/>
              </w:rPr>
              <w:t>tce/</w:t>
            </w:r>
            <w:r>
              <w:rPr>
                <w:rFonts w:hint="eastAsia" w:ascii="仿宋" w:hAnsi="仿宋" w:eastAsia="仿宋" w:cs="仿宋"/>
                <w:b w:val="0"/>
                <w:bCs w:val="0"/>
                <w:i w:val="0"/>
                <w:iCs w:val="0"/>
                <w:color w:val="auto"/>
                <w:kern w:val="0"/>
                <w:sz w:val="18"/>
                <w:szCs w:val="18"/>
                <w:u w:val="none"/>
                <w:lang w:val="en-US" w:eastAsia="zh-CN" w:bidi="ar"/>
              </w:rPr>
              <w:t>万元）</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2021</w:t>
            </w:r>
            <w:r>
              <w:rPr>
                <w:rFonts w:hint="eastAsia" w:ascii="仿宋" w:hAnsi="仿宋" w:eastAsia="仿宋" w:cs="仿宋"/>
                <w:b w:val="0"/>
                <w:bCs w:val="0"/>
                <w:i w:val="0"/>
                <w:iCs w:val="0"/>
                <w:color w:val="auto"/>
                <w:kern w:val="0"/>
                <w:sz w:val="18"/>
                <w:szCs w:val="18"/>
                <w:u w:val="none"/>
                <w:lang w:val="en-US" w:eastAsia="zh-CN" w:bidi="ar"/>
              </w:rPr>
              <w:t>年</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2022</w:t>
            </w:r>
            <w:r>
              <w:rPr>
                <w:rFonts w:hint="eastAsia" w:ascii="仿宋" w:hAnsi="仿宋" w:eastAsia="仿宋" w:cs="仿宋"/>
                <w:b w:val="0"/>
                <w:bCs w:val="0"/>
                <w:i w:val="0"/>
                <w:iCs w:val="0"/>
                <w:color w:val="auto"/>
                <w:kern w:val="0"/>
                <w:sz w:val="18"/>
                <w:szCs w:val="18"/>
                <w:u w:val="none"/>
                <w:lang w:val="en-US" w:eastAsia="zh-CN" w:bidi="ar"/>
              </w:rPr>
              <w:t>年</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2023</w:t>
            </w:r>
            <w:r>
              <w:rPr>
                <w:rFonts w:hint="eastAsia" w:ascii="仿宋" w:hAnsi="仿宋" w:eastAsia="仿宋" w:cs="仿宋"/>
                <w:b w:val="0"/>
                <w:bCs w:val="0"/>
                <w:i w:val="0"/>
                <w:iCs w:val="0"/>
                <w:color w:val="auto"/>
                <w:kern w:val="0"/>
                <w:sz w:val="18"/>
                <w:szCs w:val="18"/>
                <w:u w:val="none"/>
                <w:lang w:val="en-US" w:eastAsia="zh-CN" w:bidi="ar"/>
              </w:rPr>
              <w:t>年</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2024</w:t>
            </w:r>
            <w:r>
              <w:rPr>
                <w:rFonts w:hint="eastAsia" w:ascii="仿宋" w:hAnsi="仿宋" w:eastAsia="仿宋" w:cs="仿宋"/>
                <w:b w:val="0"/>
                <w:bCs w:val="0"/>
                <w:i w:val="0"/>
                <w:iCs w:val="0"/>
                <w:color w:val="auto"/>
                <w:kern w:val="0"/>
                <w:sz w:val="18"/>
                <w:szCs w:val="18"/>
                <w:u w:val="none"/>
                <w:lang w:val="en-US" w:eastAsia="zh-CN" w:bidi="ar"/>
              </w:rPr>
              <w:t>年</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2025</w:t>
            </w:r>
            <w:r>
              <w:rPr>
                <w:rFonts w:hint="eastAsia" w:ascii="仿宋" w:hAnsi="仿宋" w:eastAsia="仿宋" w:cs="仿宋"/>
                <w:b w:val="0"/>
                <w:bCs w:val="0"/>
                <w:i w:val="0"/>
                <w:iCs w:val="0"/>
                <w:color w:val="auto"/>
                <w:kern w:val="0"/>
                <w:sz w:val="18"/>
                <w:szCs w:val="18"/>
                <w:u w:val="none"/>
                <w:lang w:val="en-US" w:eastAsia="zh-CN" w:bidi="ar"/>
              </w:rPr>
              <w:t>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592" w:type="pct"/>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p>
        </w:tc>
        <w:tc>
          <w:tcPr>
            <w:tcW w:w="1162" w:type="pct"/>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1.908</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1.794</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1.686</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1.585</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前快后慢</w:t>
            </w:r>
          </w:p>
        </w:tc>
        <w:tc>
          <w:tcPr>
            <w:tcW w:w="11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工业增加值（万元）</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3502.08</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6420.48</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8755.2</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10506.24</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11673.6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5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p>
        </w:tc>
        <w:tc>
          <w:tcPr>
            <w:tcW w:w="11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行业能耗值（</w:t>
            </w:r>
            <w:r>
              <w:rPr>
                <w:rFonts w:hint="default" w:ascii="仿宋" w:hAnsi="仿宋" w:eastAsia="仿宋" w:cs="仿宋"/>
                <w:b w:val="0"/>
                <w:bCs w:val="0"/>
                <w:i w:val="0"/>
                <w:iCs w:val="0"/>
                <w:color w:val="auto"/>
                <w:kern w:val="0"/>
                <w:sz w:val="18"/>
                <w:szCs w:val="18"/>
                <w:u w:val="none"/>
                <w:lang w:val="en-US" w:eastAsia="zh-CN" w:bidi="ar"/>
              </w:rPr>
              <w:t>tce</w:t>
            </w:r>
            <w:r>
              <w:rPr>
                <w:rFonts w:hint="eastAsia" w:ascii="仿宋" w:hAnsi="仿宋" w:eastAsia="仿宋" w:cs="仿宋"/>
                <w:b w:val="0"/>
                <w:bCs w:val="0"/>
                <w:i w:val="0"/>
                <w:iCs w:val="0"/>
                <w:color w:val="auto"/>
                <w:kern w:val="0"/>
                <w:sz w:val="18"/>
                <w:szCs w:val="18"/>
                <w:u w:val="none"/>
                <w:lang w:val="en-US" w:eastAsia="zh-CN" w:bidi="ar"/>
              </w:rPr>
              <w:t>）</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6681.97</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11518.34</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14761.27</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16652.39</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17393.66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平均增长</w:t>
            </w:r>
          </w:p>
        </w:tc>
        <w:tc>
          <w:tcPr>
            <w:tcW w:w="11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工业增加值（万元）</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2334.72</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4669.44</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7004.16</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9338.88</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11673.6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5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p>
        </w:tc>
        <w:tc>
          <w:tcPr>
            <w:tcW w:w="11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行业能耗值（</w:t>
            </w:r>
            <w:r>
              <w:rPr>
                <w:rFonts w:hint="default" w:ascii="仿宋" w:hAnsi="仿宋" w:eastAsia="仿宋" w:cs="仿宋"/>
                <w:b w:val="0"/>
                <w:bCs w:val="0"/>
                <w:i w:val="0"/>
                <w:iCs w:val="0"/>
                <w:color w:val="auto"/>
                <w:kern w:val="0"/>
                <w:sz w:val="18"/>
                <w:szCs w:val="18"/>
                <w:u w:val="none"/>
                <w:lang w:val="en-US" w:eastAsia="zh-CN" w:bidi="ar"/>
              </w:rPr>
              <w:t>tce</w:t>
            </w:r>
            <w:r>
              <w:rPr>
                <w:rFonts w:hint="eastAsia" w:ascii="仿宋" w:hAnsi="仿宋" w:eastAsia="仿宋" w:cs="仿宋"/>
                <w:b w:val="0"/>
                <w:bCs w:val="0"/>
                <w:i w:val="0"/>
                <w:iCs w:val="0"/>
                <w:color w:val="auto"/>
                <w:kern w:val="0"/>
                <w:sz w:val="18"/>
                <w:szCs w:val="18"/>
                <w:u w:val="none"/>
                <w:lang w:val="en-US" w:eastAsia="zh-CN" w:bidi="ar"/>
              </w:rPr>
              <w:t>）</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4454.65</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8376.98</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11809.01</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14802.12</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17393.66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前慢后快</w:t>
            </w:r>
          </w:p>
        </w:tc>
        <w:tc>
          <w:tcPr>
            <w:tcW w:w="11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工业增加值（万元）</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1167.36</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2918.4</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5253.12</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8171.52</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11673.6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5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p>
        </w:tc>
        <w:tc>
          <w:tcPr>
            <w:tcW w:w="11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行业能耗值（</w:t>
            </w:r>
            <w:r>
              <w:rPr>
                <w:rFonts w:hint="default" w:ascii="仿宋" w:hAnsi="仿宋" w:eastAsia="仿宋" w:cs="仿宋"/>
                <w:b w:val="0"/>
                <w:bCs w:val="0"/>
                <w:i w:val="0"/>
                <w:iCs w:val="0"/>
                <w:color w:val="auto"/>
                <w:kern w:val="0"/>
                <w:sz w:val="18"/>
                <w:szCs w:val="18"/>
                <w:u w:val="none"/>
                <w:lang w:val="en-US" w:eastAsia="zh-CN" w:bidi="ar"/>
              </w:rPr>
              <w:t>tce</w:t>
            </w:r>
            <w:r>
              <w:rPr>
                <w:rFonts w:hint="eastAsia" w:ascii="仿宋" w:hAnsi="仿宋" w:eastAsia="仿宋" w:cs="仿宋"/>
                <w:b w:val="0"/>
                <w:bCs w:val="0"/>
                <w:i w:val="0"/>
                <w:iCs w:val="0"/>
                <w:color w:val="auto"/>
                <w:kern w:val="0"/>
                <w:sz w:val="18"/>
                <w:szCs w:val="18"/>
                <w:u w:val="none"/>
                <w:lang w:val="en-US" w:eastAsia="zh-CN" w:bidi="ar"/>
              </w:rPr>
              <w:t>）</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2227.32</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5235.61</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8856.76</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12951.86</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17393.66</w:t>
            </w:r>
          </w:p>
        </w:tc>
      </w:tr>
    </w:tbl>
    <w:p>
      <w:pPr>
        <w:bidi w:val="0"/>
        <w:rPr>
          <w:rFonts w:hint="eastAsia"/>
          <w:color w:val="auto"/>
          <w:lang w:val="en-US" w:eastAsia="zh-CN"/>
        </w:rPr>
      </w:pPr>
      <w:r>
        <w:rPr>
          <w:rFonts w:hint="eastAsia"/>
          <w:color w:val="auto"/>
          <w:lang w:val="en-US" w:eastAsia="zh-CN"/>
        </w:rPr>
        <w:t>（4）铝基新材料</w:t>
      </w:r>
    </w:p>
    <w:p>
      <w:pPr>
        <w:jc w:val="center"/>
        <w:rPr>
          <w:rFonts w:hint="eastAsia"/>
          <w:color w:val="auto"/>
          <w:lang w:val="en-US" w:eastAsia="zh-CN"/>
        </w:rPr>
      </w:pPr>
      <w:r>
        <w:rPr>
          <w:rFonts w:hint="eastAsia"/>
          <w:color w:val="auto"/>
          <w:lang w:val="en-US" w:eastAsia="zh-CN"/>
        </w:rPr>
        <w:t>表3-38 未开发土地预测（铝基新材料）发展前景预测表</w:t>
      </w:r>
    </w:p>
    <w:tbl>
      <w:tblPr>
        <w:tblStyle w:val="11"/>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84"/>
        <w:gridCol w:w="1936"/>
        <w:gridCol w:w="1081"/>
        <w:gridCol w:w="1081"/>
        <w:gridCol w:w="1081"/>
        <w:gridCol w:w="1176"/>
        <w:gridCol w:w="11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78" w:type="pct"/>
            <w:vMerge w:val="restar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发展情景</w:t>
            </w:r>
          </w:p>
        </w:tc>
        <w:tc>
          <w:tcPr>
            <w:tcW w:w="1136" w:type="pct"/>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工业增加值能耗</w:t>
            </w:r>
          </w:p>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w:t>
            </w:r>
            <w:r>
              <w:rPr>
                <w:rFonts w:hint="default" w:ascii="仿宋" w:hAnsi="仿宋" w:eastAsia="仿宋" w:cs="仿宋"/>
                <w:b w:val="0"/>
                <w:bCs w:val="0"/>
                <w:i w:val="0"/>
                <w:iCs w:val="0"/>
                <w:color w:val="auto"/>
                <w:kern w:val="0"/>
                <w:sz w:val="18"/>
                <w:szCs w:val="18"/>
                <w:u w:val="none"/>
                <w:lang w:val="en-US" w:eastAsia="zh-CN" w:bidi="ar"/>
              </w:rPr>
              <w:t>tce/</w:t>
            </w:r>
            <w:r>
              <w:rPr>
                <w:rFonts w:hint="eastAsia" w:ascii="仿宋" w:hAnsi="仿宋" w:eastAsia="仿宋" w:cs="仿宋"/>
                <w:b w:val="0"/>
                <w:bCs w:val="0"/>
                <w:i w:val="0"/>
                <w:iCs w:val="0"/>
                <w:color w:val="auto"/>
                <w:kern w:val="0"/>
                <w:sz w:val="18"/>
                <w:szCs w:val="18"/>
                <w:u w:val="none"/>
                <w:lang w:val="en-US" w:eastAsia="zh-CN" w:bidi="ar"/>
              </w:rPr>
              <w:t>万元）</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2021</w:t>
            </w:r>
            <w:r>
              <w:rPr>
                <w:rFonts w:hint="eastAsia" w:ascii="仿宋" w:hAnsi="仿宋" w:eastAsia="仿宋" w:cs="仿宋"/>
                <w:b w:val="0"/>
                <w:bCs w:val="0"/>
                <w:i w:val="0"/>
                <w:iCs w:val="0"/>
                <w:color w:val="auto"/>
                <w:kern w:val="0"/>
                <w:sz w:val="18"/>
                <w:szCs w:val="18"/>
                <w:u w:val="none"/>
                <w:lang w:val="en-US" w:eastAsia="zh-CN" w:bidi="ar"/>
              </w:rPr>
              <w:t>年</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2022</w:t>
            </w:r>
            <w:r>
              <w:rPr>
                <w:rFonts w:hint="eastAsia" w:ascii="仿宋" w:hAnsi="仿宋" w:eastAsia="仿宋" w:cs="仿宋"/>
                <w:b w:val="0"/>
                <w:bCs w:val="0"/>
                <w:i w:val="0"/>
                <w:iCs w:val="0"/>
                <w:color w:val="auto"/>
                <w:kern w:val="0"/>
                <w:sz w:val="18"/>
                <w:szCs w:val="18"/>
                <w:u w:val="none"/>
                <w:lang w:val="en-US" w:eastAsia="zh-CN" w:bidi="ar"/>
              </w:rPr>
              <w:t>年</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2023</w:t>
            </w:r>
            <w:r>
              <w:rPr>
                <w:rFonts w:hint="eastAsia" w:ascii="仿宋" w:hAnsi="仿宋" w:eastAsia="仿宋" w:cs="仿宋"/>
                <w:b w:val="0"/>
                <w:bCs w:val="0"/>
                <w:i w:val="0"/>
                <w:iCs w:val="0"/>
                <w:color w:val="auto"/>
                <w:kern w:val="0"/>
                <w:sz w:val="18"/>
                <w:szCs w:val="18"/>
                <w:u w:val="none"/>
                <w:lang w:val="en-US" w:eastAsia="zh-CN" w:bidi="ar"/>
              </w:rPr>
              <w:t>年</w:t>
            </w:r>
          </w:p>
        </w:tc>
        <w:tc>
          <w:tcPr>
            <w:tcW w:w="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2024</w:t>
            </w:r>
            <w:r>
              <w:rPr>
                <w:rFonts w:hint="eastAsia" w:ascii="仿宋" w:hAnsi="仿宋" w:eastAsia="仿宋" w:cs="仿宋"/>
                <w:b w:val="0"/>
                <w:bCs w:val="0"/>
                <w:i w:val="0"/>
                <w:iCs w:val="0"/>
                <w:color w:val="auto"/>
                <w:kern w:val="0"/>
                <w:sz w:val="18"/>
                <w:szCs w:val="18"/>
                <w:u w:val="none"/>
                <w:lang w:val="en-US" w:eastAsia="zh-CN" w:bidi="ar"/>
              </w:rPr>
              <w:t>年</w:t>
            </w:r>
          </w:p>
        </w:tc>
        <w:tc>
          <w:tcPr>
            <w:tcW w:w="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2025</w:t>
            </w:r>
            <w:r>
              <w:rPr>
                <w:rFonts w:hint="eastAsia" w:ascii="仿宋" w:hAnsi="仿宋" w:eastAsia="仿宋" w:cs="仿宋"/>
                <w:b w:val="0"/>
                <w:bCs w:val="0"/>
                <w:i w:val="0"/>
                <w:iCs w:val="0"/>
                <w:color w:val="auto"/>
                <w:kern w:val="0"/>
                <w:sz w:val="18"/>
                <w:szCs w:val="18"/>
                <w:u w:val="none"/>
                <w:lang w:val="en-US" w:eastAsia="zh-CN" w:bidi="ar"/>
              </w:rPr>
              <w:t>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p>
        </w:tc>
        <w:tc>
          <w:tcPr>
            <w:tcW w:w="1136" w:type="pct"/>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2.453</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2.306</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2.168</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2.038</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1.916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前快后慢</w:t>
            </w:r>
          </w:p>
        </w:tc>
        <w:tc>
          <w:tcPr>
            <w:tcW w:w="11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工业增加值（万元）</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3941.49</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7226.07</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9853.73</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11824.48</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13138.31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p>
        </w:tc>
        <w:tc>
          <w:tcPr>
            <w:tcW w:w="11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行业能耗值（</w:t>
            </w:r>
            <w:r>
              <w:rPr>
                <w:rFonts w:hint="default" w:ascii="仿宋" w:hAnsi="仿宋" w:eastAsia="仿宋" w:cs="仿宋"/>
                <w:b w:val="0"/>
                <w:bCs w:val="0"/>
                <w:i w:val="0"/>
                <w:iCs w:val="0"/>
                <w:color w:val="auto"/>
                <w:kern w:val="0"/>
                <w:sz w:val="18"/>
                <w:szCs w:val="18"/>
                <w:u w:val="none"/>
                <w:lang w:val="en-US" w:eastAsia="zh-CN" w:bidi="ar"/>
              </w:rPr>
              <w:t>tce</w:t>
            </w:r>
            <w:r>
              <w:rPr>
                <w:rFonts w:hint="eastAsia" w:ascii="仿宋" w:hAnsi="仿宋" w:eastAsia="仿宋" w:cs="仿宋"/>
                <w:b w:val="0"/>
                <w:bCs w:val="0"/>
                <w:i w:val="0"/>
                <w:iCs w:val="0"/>
                <w:color w:val="auto"/>
                <w:kern w:val="0"/>
                <w:sz w:val="18"/>
                <w:szCs w:val="18"/>
                <w:u w:val="none"/>
                <w:lang w:val="en-US" w:eastAsia="zh-CN" w:bidi="ar"/>
              </w:rPr>
              <w:t>）</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9668.47</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16663.32</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21362.89</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24098.29</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25173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平均增长</w:t>
            </w:r>
          </w:p>
        </w:tc>
        <w:tc>
          <w:tcPr>
            <w:tcW w:w="11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工业增加值（万元）</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2627.66</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5255.32</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7882.99</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10510.65</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13138.31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p>
        </w:tc>
        <w:tc>
          <w:tcPr>
            <w:tcW w:w="11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行业能耗值（</w:t>
            </w:r>
            <w:r>
              <w:rPr>
                <w:rFonts w:hint="default" w:ascii="仿宋" w:hAnsi="仿宋" w:eastAsia="仿宋" w:cs="仿宋"/>
                <w:b w:val="0"/>
                <w:bCs w:val="0"/>
                <w:i w:val="0"/>
                <w:iCs w:val="0"/>
                <w:color w:val="auto"/>
                <w:kern w:val="0"/>
                <w:sz w:val="18"/>
                <w:szCs w:val="18"/>
                <w:u w:val="none"/>
                <w:lang w:val="en-US" w:eastAsia="zh-CN" w:bidi="ar"/>
              </w:rPr>
              <w:t>tce</w:t>
            </w:r>
            <w:r>
              <w:rPr>
                <w:rFonts w:hint="eastAsia" w:ascii="仿宋" w:hAnsi="仿宋" w:eastAsia="仿宋" w:cs="仿宋"/>
                <w:b w:val="0"/>
                <w:bCs w:val="0"/>
                <w:i w:val="0"/>
                <w:iCs w:val="0"/>
                <w:color w:val="auto"/>
                <w:kern w:val="0"/>
                <w:sz w:val="18"/>
                <w:szCs w:val="18"/>
                <w:u w:val="none"/>
                <w:lang w:val="en-US" w:eastAsia="zh-CN" w:bidi="ar"/>
              </w:rPr>
              <w:t>）</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6445.65</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12118.77</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17090.32</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21420.7</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25173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前慢后快</w:t>
            </w:r>
          </w:p>
        </w:tc>
        <w:tc>
          <w:tcPr>
            <w:tcW w:w="11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工业增加值（万元）</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1313.83</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3284.58</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5912.24</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9196.82</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13138.31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p>
        </w:tc>
        <w:tc>
          <w:tcPr>
            <w:tcW w:w="11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行业能耗值（</w:t>
            </w:r>
            <w:r>
              <w:rPr>
                <w:rFonts w:hint="default" w:ascii="仿宋" w:hAnsi="仿宋" w:eastAsia="仿宋" w:cs="仿宋"/>
                <w:b w:val="0"/>
                <w:bCs w:val="0"/>
                <w:i w:val="0"/>
                <w:iCs w:val="0"/>
                <w:color w:val="auto"/>
                <w:kern w:val="0"/>
                <w:sz w:val="18"/>
                <w:szCs w:val="18"/>
                <w:u w:val="none"/>
                <w:lang w:val="en-US" w:eastAsia="zh-CN" w:bidi="ar"/>
              </w:rPr>
              <w:t>tce</w:t>
            </w:r>
            <w:r>
              <w:rPr>
                <w:rFonts w:hint="eastAsia" w:ascii="仿宋" w:hAnsi="仿宋" w:eastAsia="仿宋" w:cs="仿宋"/>
                <w:b w:val="0"/>
                <w:bCs w:val="0"/>
                <w:i w:val="0"/>
                <w:iCs w:val="0"/>
                <w:color w:val="auto"/>
                <w:kern w:val="0"/>
                <w:sz w:val="18"/>
                <w:szCs w:val="18"/>
                <w:u w:val="none"/>
                <w:lang w:val="en-US" w:eastAsia="zh-CN" w:bidi="ar"/>
              </w:rPr>
              <w:t>）</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3222.82</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7574.24</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12817.74</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18743.12</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25173</w:t>
            </w:r>
          </w:p>
        </w:tc>
      </w:tr>
    </w:tbl>
    <w:p>
      <w:pPr>
        <w:bidi w:val="0"/>
        <w:rPr>
          <w:rFonts w:hint="eastAsia"/>
          <w:color w:val="auto"/>
          <w:lang w:val="en-US" w:eastAsia="zh-CN"/>
        </w:rPr>
      </w:pPr>
      <w:r>
        <w:rPr>
          <w:rFonts w:hint="eastAsia"/>
          <w:color w:val="auto"/>
          <w:lang w:val="en-US" w:eastAsia="zh-CN"/>
        </w:rPr>
        <w:t>（5）特色农产品</w:t>
      </w:r>
    </w:p>
    <w:p>
      <w:pPr>
        <w:rPr>
          <w:rFonts w:hint="eastAsia"/>
          <w:color w:val="auto"/>
          <w:lang w:val="en-US" w:eastAsia="zh-CN"/>
        </w:rPr>
      </w:pPr>
      <w:r>
        <w:rPr>
          <w:rFonts w:hint="eastAsia"/>
          <w:color w:val="auto"/>
          <w:lang w:val="en-US" w:eastAsia="zh-CN"/>
        </w:rPr>
        <w:t>表3-40 未开发土地预测（特色农产品）发展前景预测表</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69"/>
        <w:gridCol w:w="2097"/>
        <w:gridCol w:w="1070"/>
        <w:gridCol w:w="1070"/>
        <w:gridCol w:w="1070"/>
        <w:gridCol w:w="1071"/>
        <w:gridCol w:w="10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28" w:type="pct"/>
            <w:vMerge w:val="restar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发展情景</w:t>
            </w:r>
          </w:p>
        </w:tc>
        <w:tc>
          <w:tcPr>
            <w:tcW w:w="1231" w:type="pct"/>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工业增加值能耗</w:t>
            </w:r>
          </w:p>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w:t>
            </w:r>
            <w:r>
              <w:rPr>
                <w:rFonts w:hint="default" w:ascii="仿宋" w:hAnsi="仿宋" w:eastAsia="仿宋" w:cs="仿宋"/>
                <w:b w:val="0"/>
                <w:bCs w:val="0"/>
                <w:i w:val="0"/>
                <w:iCs w:val="0"/>
                <w:color w:val="auto"/>
                <w:kern w:val="0"/>
                <w:sz w:val="18"/>
                <w:szCs w:val="18"/>
                <w:u w:val="none"/>
                <w:lang w:val="en-US" w:eastAsia="zh-CN" w:bidi="ar"/>
              </w:rPr>
              <w:t>tce/</w:t>
            </w:r>
            <w:r>
              <w:rPr>
                <w:rFonts w:hint="eastAsia" w:ascii="仿宋" w:hAnsi="仿宋" w:eastAsia="仿宋" w:cs="仿宋"/>
                <w:b w:val="0"/>
                <w:bCs w:val="0"/>
                <w:i w:val="0"/>
                <w:iCs w:val="0"/>
                <w:color w:val="auto"/>
                <w:kern w:val="0"/>
                <w:sz w:val="18"/>
                <w:szCs w:val="18"/>
                <w:u w:val="none"/>
                <w:lang w:val="en-US" w:eastAsia="zh-CN" w:bidi="ar"/>
              </w:rPr>
              <w:t>万元）</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2021</w:t>
            </w:r>
            <w:r>
              <w:rPr>
                <w:rFonts w:hint="eastAsia" w:ascii="仿宋" w:hAnsi="仿宋" w:eastAsia="仿宋" w:cs="仿宋"/>
                <w:b w:val="0"/>
                <w:bCs w:val="0"/>
                <w:i w:val="0"/>
                <w:iCs w:val="0"/>
                <w:color w:val="auto"/>
                <w:kern w:val="0"/>
                <w:sz w:val="18"/>
                <w:szCs w:val="18"/>
                <w:u w:val="none"/>
                <w:lang w:val="en-US" w:eastAsia="zh-CN" w:bidi="ar"/>
              </w:rPr>
              <w:t>年</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2022</w:t>
            </w:r>
            <w:r>
              <w:rPr>
                <w:rFonts w:hint="eastAsia" w:ascii="仿宋" w:hAnsi="仿宋" w:eastAsia="仿宋" w:cs="仿宋"/>
                <w:b w:val="0"/>
                <w:bCs w:val="0"/>
                <w:i w:val="0"/>
                <w:iCs w:val="0"/>
                <w:color w:val="auto"/>
                <w:kern w:val="0"/>
                <w:sz w:val="18"/>
                <w:szCs w:val="18"/>
                <w:u w:val="none"/>
                <w:lang w:val="en-US" w:eastAsia="zh-CN" w:bidi="ar"/>
              </w:rPr>
              <w:t>年</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2023</w:t>
            </w:r>
            <w:r>
              <w:rPr>
                <w:rFonts w:hint="eastAsia" w:ascii="仿宋" w:hAnsi="仿宋" w:eastAsia="仿宋" w:cs="仿宋"/>
                <w:b w:val="0"/>
                <w:bCs w:val="0"/>
                <w:i w:val="0"/>
                <w:iCs w:val="0"/>
                <w:color w:val="auto"/>
                <w:kern w:val="0"/>
                <w:sz w:val="18"/>
                <w:szCs w:val="18"/>
                <w:u w:val="none"/>
                <w:lang w:val="en-US" w:eastAsia="zh-CN" w:bidi="ar"/>
              </w:rPr>
              <w:t>年</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2024</w:t>
            </w:r>
            <w:r>
              <w:rPr>
                <w:rFonts w:hint="eastAsia" w:ascii="仿宋" w:hAnsi="仿宋" w:eastAsia="仿宋" w:cs="仿宋"/>
                <w:b w:val="0"/>
                <w:bCs w:val="0"/>
                <w:i w:val="0"/>
                <w:iCs w:val="0"/>
                <w:color w:val="auto"/>
                <w:kern w:val="0"/>
                <w:sz w:val="18"/>
                <w:szCs w:val="18"/>
                <w:u w:val="none"/>
                <w:lang w:val="en-US" w:eastAsia="zh-CN" w:bidi="ar"/>
              </w:rPr>
              <w:t>年</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2025</w:t>
            </w:r>
            <w:r>
              <w:rPr>
                <w:rFonts w:hint="eastAsia" w:ascii="仿宋" w:hAnsi="仿宋" w:eastAsia="仿宋" w:cs="仿宋"/>
                <w:b w:val="0"/>
                <w:bCs w:val="0"/>
                <w:i w:val="0"/>
                <w:iCs w:val="0"/>
                <w:color w:val="auto"/>
                <w:kern w:val="0"/>
                <w:sz w:val="18"/>
                <w:szCs w:val="18"/>
                <w:u w:val="none"/>
                <w:lang w:val="en-US" w:eastAsia="zh-CN" w:bidi="ar"/>
              </w:rPr>
              <w:t>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8" w:type="pct"/>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p>
        </w:tc>
        <w:tc>
          <w:tcPr>
            <w:tcW w:w="1231" w:type="pct"/>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0.207</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0.195</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0.183</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0.172</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0.162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前快后慢</w:t>
            </w:r>
          </w:p>
        </w:tc>
        <w:tc>
          <w:tcPr>
            <w:tcW w:w="1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工业增加值（万元）</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22426.34</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41114.96</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56065.85</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67279.02</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74754.47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p>
        </w:tc>
        <w:tc>
          <w:tcPr>
            <w:tcW w:w="1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行业能耗值（</w:t>
            </w:r>
            <w:r>
              <w:rPr>
                <w:rFonts w:hint="default" w:ascii="仿宋" w:hAnsi="仿宋" w:eastAsia="仿宋" w:cs="仿宋"/>
                <w:b w:val="0"/>
                <w:bCs w:val="0"/>
                <w:i w:val="0"/>
                <w:iCs w:val="0"/>
                <w:color w:val="auto"/>
                <w:kern w:val="0"/>
                <w:sz w:val="18"/>
                <w:szCs w:val="18"/>
                <w:u w:val="none"/>
                <w:lang w:val="en-US" w:eastAsia="zh-CN" w:bidi="ar"/>
              </w:rPr>
              <w:t>tce</w:t>
            </w:r>
            <w:r>
              <w:rPr>
                <w:rFonts w:hint="eastAsia" w:ascii="仿宋" w:hAnsi="仿宋" w:eastAsia="仿宋" w:cs="仿宋"/>
                <w:b w:val="0"/>
                <w:bCs w:val="0"/>
                <w:i w:val="0"/>
                <w:iCs w:val="0"/>
                <w:color w:val="auto"/>
                <w:kern w:val="0"/>
                <w:sz w:val="18"/>
                <w:szCs w:val="18"/>
                <w:u w:val="none"/>
                <w:lang w:val="en-US" w:eastAsia="zh-CN" w:bidi="ar"/>
              </w:rPr>
              <w:t>）</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4642.25</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8017.42</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10260.05</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11571.99</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12110.22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平均增长</w:t>
            </w:r>
          </w:p>
        </w:tc>
        <w:tc>
          <w:tcPr>
            <w:tcW w:w="1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工业增加值（万元）</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14950.89</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29901.79</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44852.68</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59803.58</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74754.47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p>
        </w:tc>
        <w:tc>
          <w:tcPr>
            <w:tcW w:w="1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行业能耗值（</w:t>
            </w:r>
            <w:r>
              <w:rPr>
                <w:rFonts w:hint="default" w:ascii="仿宋" w:hAnsi="仿宋" w:eastAsia="仿宋" w:cs="仿宋"/>
                <w:b w:val="0"/>
                <w:bCs w:val="0"/>
                <w:i w:val="0"/>
                <w:iCs w:val="0"/>
                <w:color w:val="auto"/>
                <w:kern w:val="0"/>
                <w:sz w:val="18"/>
                <w:szCs w:val="18"/>
                <w:u w:val="none"/>
                <w:lang w:val="en-US" w:eastAsia="zh-CN" w:bidi="ar"/>
              </w:rPr>
              <w:t>tce</w:t>
            </w:r>
            <w:r>
              <w:rPr>
                <w:rFonts w:hint="eastAsia" w:ascii="仿宋" w:hAnsi="仿宋" w:eastAsia="仿宋" w:cs="仿宋"/>
                <w:b w:val="0"/>
                <w:bCs w:val="0"/>
                <w:i w:val="0"/>
                <w:iCs w:val="0"/>
                <w:color w:val="auto"/>
                <w:kern w:val="0"/>
                <w:sz w:val="18"/>
                <w:szCs w:val="18"/>
                <w:u w:val="none"/>
                <w:lang w:val="en-US" w:eastAsia="zh-CN" w:bidi="ar"/>
              </w:rPr>
              <w:t>）</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3094.83</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5830.85</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8208.04</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10286.22</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12110.22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前慢后快</w:t>
            </w:r>
          </w:p>
        </w:tc>
        <w:tc>
          <w:tcPr>
            <w:tcW w:w="1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工业增加值（万元）</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7475.45</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18688.62</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33639.51</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52328.13</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74754.47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p>
        </w:tc>
        <w:tc>
          <w:tcPr>
            <w:tcW w:w="1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行业能耗值（</w:t>
            </w:r>
            <w:r>
              <w:rPr>
                <w:rFonts w:hint="default" w:ascii="仿宋" w:hAnsi="仿宋" w:eastAsia="仿宋" w:cs="仿宋"/>
                <w:b w:val="0"/>
                <w:bCs w:val="0"/>
                <w:i w:val="0"/>
                <w:iCs w:val="0"/>
                <w:color w:val="auto"/>
                <w:kern w:val="0"/>
                <w:sz w:val="18"/>
                <w:szCs w:val="18"/>
                <w:u w:val="none"/>
                <w:lang w:val="en-US" w:eastAsia="zh-CN" w:bidi="ar"/>
              </w:rPr>
              <w:t>tce</w:t>
            </w:r>
            <w:r>
              <w:rPr>
                <w:rFonts w:hint="eastAsia" w:ascii="仿宋" w:hAnsi="仿宋" w:eastAsia="仿宋" w:cs="仿宋"/>
                <w:b w:val="0"/>
                <w:bCs w:val="0"/>
                <w:i w:val="0"/>
                <w:iCs w:val="0"/>
                <w:color w:val="auto"/>
                <w:kern w:val="0"/>
                <w:sz w:val="18"/>
                <w:szCs w:val="18"/>
                <w:u w:val="none"/>
                <w:lang w:val="en-US" w:eastAsia="zh-CN" w:bidi="ar"/>
              </w:rPr>
              <w:t>）</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1547.42</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3644.28</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6156.03</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9000.44</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12110.22</w:t>
            </w:r>
          </w:p>
        </w:tc>
      </w:tr>
    </w:tbl>
    <w:p>
      <w:pPr>
        <w:bidi w:val="0"/>
        <w:rPr>
          <w:rFonts w:hint="default"/>
          <w:color w:val="auto"/>
          <w:lang w:val="en-US" w:eastAsia="zh-CN"/>
        </w:rPr>
      </w:pPr>
      <w:r>
        <w:rPr>
          <w:rFonts w:hint="eastAsia"/>
          <w:color w:val="auto"/>
          <w:lang w:val="en-US" w:eastAsia="zh-CN"/>
        </w:rPr>
        <w:t>（6）生产能耗汇总</w:t>
      </w:r>
    </w:p>
    <w:p>
      <w:pPr>
        <w:jc w:val="center"/>
        <w:rPr>
          <w:rFonts w:hint="eastAsia"/>
          <w:color w:val="auto"/>
          <w:lang w:val="en-US" w:eastAsia="zh-CN"/>
        </w:rPr>
      </w:pPr>
      <w:r>
        <w:rPr>
          <w:rFonts w:hint="eastAsia"/>
          <w:color w:val="auto"/>
          <w:lang w:val="en-US" w:eastAsia="zh-CN"/>
        </w:rPr>
        <w:t>表3-41 未开发土地预测各行业发展前景预测表</w:t>
      </w:r>
    </w:p>
    <w:tbl>
      <w:tblPr>
        <w:tblStyle w:val="11"/>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40"/>
        <w:gridCol w:w="1360"/>
        <w:gridCol w:w="1479"/>
        <w:gridCol w:w="1479"/>
        <w:gridCol w:w="1479"/>
        <w:gridCol w:w="14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发展情景</w:t>
            </w:r>
          </w:p>
        </w:tc>
        <w:tc>
          <w:tcPr>
            <w:tcW w:w="4271"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未开发土地预测总能耗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0" w:hRule="atLeast"/>
        </w:trPr>
        <w:tc>
          <w:tcPr>
            <w:tcW w:w="72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2021年</w:t>
            </w:r>
          </w:p>
        </w:tc>
        <w:tc>
          <w:tcPr>
            <w:tcW w:w="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2022年</w:t>
            </w:r>
          </w:p>
        </w:tc>
        <w:tc>
          <w:tcPr>
            <w:tcW w:w="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2023年</w:t>
            </w:r>
          </w:p>
        </w:tc>
        <w:tc>
          <w:tcPr>
            <w:tcW w:w="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2024年</w:t>
            </w:r>
          </w:p>
        </w:tc>
        <w:tc>
          <w:tcPr>
            <w:tcW w:w="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前快后慢</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47100.71</w:t>
            </w:r>
          </w:p>
        </w:tc>
        <w:tc>
          <w:tcPr>
            <w:tcW w:w="1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81219.98</w:t>
            </w:r>
          </w:p>
        </w:tc>
        <w:tc>
          <w:tcPr>
            <w:tcW w:w="1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104085.38</w:t>
            </w:r>
          </w:p>
        </w:tc>
        <w:tc>
          <w:tcPr>
            <w:tcW w:w="1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117386.75</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122672.1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0" w:hRule="atLeast"/>
        </w:trPr>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平均增长</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31400.48</w:t>
            </w:r>
          </w:p>
        </w:tc>
        <w:tc>
          <w:tcPr>
            <w:tcW w:w="1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59069.07</w:t>
            </w:r>
          </w:p>
        </w:tc>
        <w:tc>
          <w:tcPr>
            <w:tcW w:w="1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83268.31</w:t>
            </w:r>
          </w:p>
        </w:tc>
        <w:tc>
          <w:tcPr>
            <w:tcW w:w="1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104343.78</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122672.1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前慢后快</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15700.23</w:t>
            </w:r>
          </w:p>
        </w:tc>
        <w:tc>
          <w:tcPr>
            <w:tcW w:w="1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36918.18</w:t>
            </w:r>
          </w:p>
        </w:tc>
        <w:tc>
          <w:tcPr>
            <w:tcW w:w="1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62451.23</w:t>
            </w:r>
          </w:p>
        </w:tc>
        <w:tc>
          <w:tcPr>
            <w:tcW w:w="1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91300.81</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122672.1</w:t>
            </w:r>
          </w:p>
        </w:tc>
      </w:tr>
    </w:tbl>
    <w:p>
      <w:pPr>
        <w:bidi w:val="0"/>
        <w:rPr>
          <w:rFonts w:hint="eastAsia"/>
          <w:color w:val="auto"/>
          <w:lang w:val="en-US" w:eastAsia="zh-CN"/>
        </w:rPr>
      </w:pPr>
      <w:r>
        <w:rPr>
          <w:rFonts w:hint="eastAsia"/>
          <w:color w:val="auto"/>
          <w:lang w:val="en-US" w:eastAsia="zh-CN"/>
        </w:rPr>
        <w:t>根据测算情景，结合开发区未开发土地招商引资情况，考虑按前慢后快的发展情景测算，则计入开发区现有规上企业能耗、拟入驻项目各年度能耗后，开发区各行业生产能耗总量及年度情况如下表所示：</w:t>
      </w:r>
    </w:p>
    <w:p>
      <w:pPr>
        <w:bidi w:val="0"/>
        <w:jc w:val="center"/>
        <w:rPr>
          <w:rFonts w:hint="eastAsia"/>
          <w:color w:val="auto"/>
          <w:lang w:val="en-US" w:eastAsia="zh-CN"/>
        </w:rPr>
      </w:pPr>
      <w:r>
        <w:rPr>
          <w:rFonts w:hint="eastAsia"/>
          <w:color w:val="auto"/>
          <w:lang w:val="en-US" w:eastAsia="zh-CN"/>
        </w:rPr>
        <w:t>表3-42 开发区年度生产能耗测算汇总表</w:t>
      </w:r>
    </w:p>
    <w:tbl>
      <w:tblPr>
        <w:tblStyle w:val="11"/>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19"/>
        <w:gridCol w:w="1420"/>
        <w:gridCol w:w="1420"/>
        <w:gridCol w:w="1420"/>
        <w:gridCol w:w="1420"/>
        <w:gridCol w:w="14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行业</w:t>
            </w:r>
          </w:p>
        </w:tc>
        <w:tc>
          <w:tcPr>
            <w:tcW w:w="4166"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开发区预测总能耗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2021年</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2022年</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2023年</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2024年</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磷系新材料</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1197782.92</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1203335.6</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1282096.43</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1439120.43</w:t>
            </w: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1636282.48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氯碱化工</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4769.15</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7761.48</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11362.35</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266806.29</w:t>
            </w: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302648.82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氟材料</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6488.63</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23091.58</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45085.97</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78600.62</w:t>
            </w: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96368.48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钛材料</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2227.32</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5235.61</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71845.16</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138928.66</w:t>
            </w: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269347.26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储能产业</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23003.29</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75497.35</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289197.81</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774006.21</w:t>
            </w: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1169603.53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铝基新材料</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46957.45</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51308.87</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56552.37</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62477.75</w:t>
            </w: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68907.63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新型建材</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85093.53</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85093.53</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152355.2</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201799.57</w:t>
            </w: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239590.61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特色农产品</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1806.8</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3903.66</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10418.95</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17671.08</w:t>
            </w: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21346.72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其他</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1769.6</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2826</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4812.83</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35560.17</w:t>
            </w: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45809.28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合计</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1369898.69</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1458053.68</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1923727.07</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3014970.78</w:t>
            </w: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3849904.81</w:t>
            </w:r>
          </w:p>
        </w:tc>
      </w:tr>
    </w:tbl>
    <w:p>
      <w:pPr>
        <w:bidi w:val="0"/>
        <w:rPr>
          <w:rFonts w:hint="eastAsia"/>
          <w:color w:val="auto"/>
          <w:lang w:val="en-US" w:eastAsia="zh-CN"/>
        </w:rPr>
      </w:pPr>
    </w:p>
    <w:p>
      <w:pPr>
        <w:bidi w:val="0"/>
        <w:rPr>
          <w:rFonts w:hint="eastAsia"/>
          <w:color w:val="auto"/>
          <w:lang w:val="en-US" w:eastAsia="zh-CN"/>
        </w:rPr>
      </w:pPr>
      <w:r>
        <w:rPr>
          <w:rFonts w:hint="eastAsia"/>
          <w:color w:val="auto"/>
          <w:lang w:val="en-US" w:eastAsia="zh-CN"/>
        </w:rPr>
        <w:t>2、非规上企业能耗</w:t>
      </w:r>
    </w:p>
    <w:p>
      <w:pPr>
        <w:bidi w:val="0"/>
        <w:rPr>
          <w:rFonts w:hint="eastAsia"/>
          <w:color w:val="auto"/>
          <w:lang w:val="en-US" w:eastAsia="zh-CN"/>
        </w:rPr>
      </w:pPr>
      <w:r>
        <w:rPr>
          <w:rFonts w:hint="eastAsia"/>
          <w:color w:val="auto"/>
          <w:lang w:val="en-US" w:eastAsia="zh-CN"/>
        </w:rPr>
        <w:t>区域非规上企业能耗采用经验值法进行能耗测算，按开发区总工业总能耗的3%估算（贵阳市2020年非规上企业占规上企业的9%，综合开发区情况，考虑规上企业能耗占比相对偏高，因此取值3%），则非规上企业2025年能耗约为115497.14tce。</w:t>
      </w:r>
    </w:p>
    <w:p>
      <w:pPr>
        <w:bidi w:val="0"/>
        <w:rPr>
          <w:rFonts w:hint="eastAsia"/>
          <w:color w:val="auto"/>
          <w:lang w:val="en-US" w:eastAsia="zh-CN"/>
        </w:rPr>
      </w:pPr>
      <w:r>
        <w:rPr>
          <w:rFonts w:hint="eastAsia"/>
          <w:color w:val="auto"/>
          <w:lang w:val="en-US" w:eastAsia="zh-CN"/>
        </w:rPr>
        <w:t>3、附属能耗测算</w:t>
      </w:r>
    </w:p>
    <w:p>
      <w:pPr>
        <w:bidi w:val="0"/>
        <w:rPr>
          <w:rFonts w:hint="eastAsia"/>
          <w:color w:val="auto"/>
          <w:lang w:val="en-US" w:eastAsia="zh-CN"/>
        </w:rPr>
      </w:pPr>
      <w:r>
        <w:rPr>
          <w:rFonts w:hint="eastAsia"/>
          <w:color w:val="auto"/>
          <w:lang w:val="en-US" w:eastAsia="zh-CN"/>
        </w:rPr>
        <w:t>区域附属能耗包括开区内办公及其他配套等建筑用能，采用经验值法进行能耗测算，按开发区工业总能耗的3%估算，则2025年附属能耗约为115497.14tce。</w:t>
      </w:r>
    </w:p>
    <w:p>
      <w:pPr>
        <w:bidi w:val="0"/>
        <w:rPr>
          <w:rFonts w:hint="eastAsia"/>
          <w:color w:val="auto"/>
          <w:lang w:val="en-US" w:eastAsia="zh-CN"/>
        </w:rPr>
      </w:pPr>
      <w:r>
        <w:rPr>
          <w:rFonts w:hint="eastAsia"/>
          <w:color w:val="auto"/>
          <w:lang w:val="en-US" w:eastAsia="zh-CN"/>
        </w:rPr>
        <w:t>4、居民用能测算</w:t>
      </w:r>
    </w:p>
    <w:p>
      <w:pPr>
        <w:bidi w:val="0"/>
        <w:rPr>
          <w:rFonts w:hint="eastAsia"/>
          <w:color w:val="auto"/>
          <w:lang w:val="en-US" w:eastAsia="zh-CN"/>
        </w:rPr>
      </w:pPr>
      <w:r>
        <w:rPr>
          <w:rFonts w:hint="eastAsia"/>
          <w:color w:val="auto"/>
          <w:lang w:val="en-US" w:eastAsia="zh-CN"/>
        </w:rPr>
        <w:t>居民用能主要为电力及天然气，根据用能指标，至2025年按23656万户测算，则2025年居民能耗约为193063.27tce。</w:t>
      </w:r>
    </w:p>
    <w:p>
      <w:pPr>
        <w:bidi w:val="0"/>
        <w:rPr>
          <w:rFonts w:hint="eastAsia"/>
          <w:color w:val="auto"/>
          <w:lang w:val="en-US" w:eastAsia="zh-CN"/>
        </w:rPr>
      </w:pPr>
    </w:p>
    <w:p>
      <w:pPr>
        <w:bidi w:val="0"/>
        <w:rPr>
          <w:rFonts w:hint="eastAsia"/>
          <w:color w:val="auto"/>
          <w:lang w:val="en-US" w:eastAsia="zh-CN"/>
        </w:rPr>
      </w:pPr>
    </w:p>
    <w:p>
      <w:pPr>
        <w:bidi w:val="0"/>
        <w:jc w:val="center"/>
        <w:rPr>
          <w:rFonts w:hint="eastAsia"/>
          <w:color w:val="auto"/>
          <w:lang w:val="en-US" w:eastAsia="zh-CN"/>
        </w:rPr>
      </w:pPr>
      <w:r>
        <w:rPr>
          <w:rFonts w:hint="eastAsia"/>
          <w:color w:val="auto"/>
          <w:lang w:val="en-US" w:eastAsia="zh-CN"/>
        </w:rPr>
        <w:t>表3-43 开发区居民能耗测算表</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12"/>
        <w:gridCol w:w="2384"/>
        <w:gridCol w:w="2093"/>
        <w:gridCol w:w="25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能源品种</w:t>
            </w: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居民户数（户）</w:t>
            </w:r>
          </w:p>
        </w:tc>
        <w:tc>
          <w:tcPr>
            <w:tcW w:w="1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用能指标</w:t>
            </w:r>
          </w:p>
        </w:tc>
        <w:tc>
          <w:tcPr>
            <w:tcW w:w="1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能耗总量（tce）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电</w:t>
            </w: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23656</w:t>
            </w:r>
          </w:p>
        </w:tc>
        <w:tc>
          <w:tcPr>
            <w:tcW w:w="1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6kW/户</w:t>
            </w:r>
          </w:p>
        </w:tc>
        <w:tc>
          <w:tcPr>
            <w:tcW w:w="1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187535.89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天然气</w:t>
            </w: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23656</w:t>
            </w:r>
          </w:p>
        </w:tc>
        <w:tc>
          <w:tcPr>
            <w:tcW w:w="1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2090MJ/人.年</w:t>
            </w:r>
          </w:p>
        </w:tc>
        <w:tc>
          <w:tcPr>
            <w:tcW w:w="1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5527.38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合计</w:t>
            </w: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p>
        </w:tc>
        <w:tc>
          <w:tcPr>
            <w:tcW w:w="1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p>
        </w:tc>
        <w:tc>
          <w:tcPr>
            <w:tcW w:w="1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193063.27</w:t>
            </w:r>
          </w:p>
        </w:tc>
      </w:tr>
    </w:tbl>
    <w:p>
      <w:pPr>
        <w:bidi w:val="0"/>
        <w:rPr>
          <w:rFonts w:hint="eastAsia"/>
          <w:color w:val="auto"/>
          <w:sz w:val="21"/>
          <w:szCs w:val="21"/>
          <w:lang w:val="en-US" w:eastAsia="zh-CN"/>
        </w:rPr>
      </w:pPr>
      <w:r>
        <w:rPr>
          <w:rFonts w:hint="eastAsia"/>
          <w:color w:val="auto"/>
          <w:sz w:val="21"/>
          <w:szCs w:val="21"/>
          <w:lang w:val="en-US" w:eastAsia="zh-CN"/>
        </w:rPr>
        <w:t>注：1、居民用电按8760h运行，需要系数取0.5，电力等价值折标系数取3.0166tce/万kWh计算，则年用电量=23656×6×8760×0.5÷10000×3.0166=187535.89tce；</w:t>
      </w:r>
    </w:p>
    <w:p>
      <w:pPr>
        <w:bidi w:val="0"/>
        <w:rPr>
          <w:rFonts w:hint="default"/>
          <w:color w:val="auto"/>
          <w:sz w:val="21"/>
          <w:szCs w:val="21"/>
          <w:lang w:val="en-US" w:eastAsia="zh-CN"/>
        </w:rPr>
      </w:pPr>
      <w:r>
        <w:rPr>
          <w:rFonts w:hint="eastAsia"/>
          <w:color w:val="auto"/>
          <w:sz w:val="21"/>
          <w:szCs w:val="21"/>
          <w:lang w:val="en-US" w:eastAsia="zh-CN"/>
        </w:rPr>
        <w:t>2、天然气用量按每户3.2人，天然气热值35.53MJ/Nm³，天然气折标系数取12.413tce/万m³计算，则年用天然气量=23656×3.2×2090÷35.53÷10000×12.413=5527.38tce。</w:t>
      </w:r>
    </w:p>
    <w:p>
      <w:pPr>
        <w:bidi w:val="0"/>
        <w:rPr>
          <w:rFonts w:hint="default"/>
          <w:color w:val="auto"/>
          <w:lang w:val="en-US" w:eastAsia="zh-CN"/>
        </w:rPr>
      </w:pPr>
    </w:p>
    <w:p>
      <w:pPr>
        <w:bidi w:val="0"/>
        <w:rPr>
          <w:rFonts w:hint="eastAsia"/>
          <w:color w:val="auto"/>
          <w:lang w:val="en-US" w:eastAsia="zh-CN"/>
        </w:rPr>
      </w:pPr>
      <w:r>
        <w:rPr>
          <w:rFonts w:hint="eastAsia"/>
          <w:color w:val="auto"/>
          <w:lang w:val="en-US" w:eastAsia="zh-CN"/>
        </w:rPr>
        <w:t>5、服务业用能测算</w:t>
      </w:r>
    </w:p>
    <w:p>
      <w:pPr>
        <w:bidi w:val="0"/>
        <w:rPr>
          <w:rFonts w:hint="eastAsia"/>
          <w:color w:val="auto"/>
          <w:lang w:val="en-US" w:eastAsia="zh-CN"/>
        </w:rPr>
      </w:pPr>
      <w:r>
        <w:rPr>
          <w:rFonts w:hint="eastAsia"/>
          <w:color w:val="auto"/>
          <w:lang w:val="en-US" w:eastAsia="zh-CN"/>
        </w:rPr>
        <w:t>服务业用能包括商业服务业与设施用能及物流仓储用能，根据《贵阳市统计年鉴2021》，综合开发区情况，考虑开发区服务业能耗占比，按开发区总工业总能耗的5%估算，则2025年服务业能耗约为192495.24tce。</w:t>
      </w:r>
    </w:p>
    <w:p>
      <w:pPr>
        <w:bidi w:val="0"/>
        <w:rPr>
          <w:rFonts w:hint="eastAsia"/>
          <w:color w:val="auto"/>
          <w:lang w:val="en-US" w:eastAsia="zh-CN"/>
        </w:rPr>
      </w:pPr>
      <w:r>
        <w:rPr>
          <w:rFonts w:hint="eastAsia"/>
          <w:color w:val="auto"/>
          <w:lang w:val="en-US" w:eastAsia="zh-CN"/>
        </w:rPr>
        <w:t>6、区域总能耗</w:t>
      </w:r>
    </w:p>
    <w:p>
      <w:pPr>
        <w:bidi w:val="0"/>
        <w:rPr>
          <w:rFonts w:hint="eastAsia"/>
          <w:color w:val="auto"/>
          <w:lang w:val="en-US" w:eastAsia="zh-CN"/>
        </w:rPr>
      </w:pPr>
      <w:r>
        <w:rPr>
          <w:rFonts w:hint="eastAsia"/>
          <w:color w:val="auto"/>
          <w:lang w:val="en-US" w:eastAsia="zh-CN"/>
        </w:rPr>
        <w:t>预计到2025年，园区企业将全部入驻并投产，区域总能耗测算结果如下表所示：</w:t>
      </w:r>
    </w:p>
    <w:p>
      <w:pPr>
        <w:bidi w:val="0"/>
        <w:jc w:val="center"/>
        <w:rPr>
          <w:rFonts w:hint="eastAsia"/>
          <w:color w:val="auto"/>
          <w:lang w:val="en-US" w:eastAsia="zh-CN"/>
        </w:rPr>
      </w:pPr>
      <w:r>
        <w:rPr>
          <w:rFonts w:hint="eastAsia"/>
          <w:color w:val="auto"/>
          <w:lang w:val="en-US" w:eastAsia="zh-CN"/>
        </w:rPr>
        <w:t>表3-44 区域总能耗测算表（单位：吨标准煤）</w:t>
      </w:r>
    </w:p>
    <w:tbl>
      <w:tblPr>
        <w:tblStyle w:val="11"/>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48"/>
        <w:gridCol w:w="3970"/>
        <w:gridCol w:w="30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序号</w:t>
            </w:r>
          </w:p>
        </w:tc>
        <w:tc>
          <w:tcPr>
            <w:tcW w:w="2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指标年度</w:t>
            </w:r>
          </w:p>
        </w:tc>
        <w:tc>
          <w:tcPr>
            <w:tcW w:w="1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u w:val="none"/>
                <w:lang w:val="en-US" w:eastAsia="zh-CN" w:bidi="ar"/>
              </w:rPr>
            </w:pPr>
            <w:r>
              <w:rPr>
                <w:rFonts w:hint="default" w:ascii="仿宋" w:hAnsi="仿宋" w:eastAsia="仿宋" w:cs="仿宋"/>
                <w:b w:val="0"/>
                <w:bCs w:val="0"/>
                <w:i w:val="0"/>
                <w:iCs w:val="0"/>
                <w:color w:val="auto"/>
                <w:kern w:val="0"/>
                <w:sz w:val="21"/>
                <w:szCs w:val="21"/>
                <w:u w:val="none"/>
                <w:lang w:val="en-US" w:eastAsia="zh-CN" w:bidi="ar"/>
              </w:rPr>
              <w:t>2025</w:t>
            </w:r>
            <w:r>
              <w:rPr>
                <w:rFonts w:hint="eastAsia" w:ascii="仿宋" w:hAnsi="仿宋" w:eastAsia="仿宋" w:cs="仿宋"/>
                <w:b w:val="0"/>
                <w:bCs w:val="0"/>
                <w:i w:val="0"/>
                <w:iCs w:val="0"/>
                <w:color w:val="auto"/>
                <w:kern w:val="0"/>
                <w:sz w:val="21"/>
                <w:szCs w:val="21"/>
                <w:u w:val="none"/>
                <w:lang w:val="en-US" w:eastAsia="zh-CN" w:bidi="ar"/>
              </w:rPr>
              <w:t>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u w:val="none"/>
                <w:lang w:val="en-US" w:eastAsia="zh-CN" w:bidi="ar"/>
              </w:rPr>
            </w:pPr>
            <w:r>
              <w:rPr>
                <w:rFonts w:hint="default" w:ascii="仿宋" w:hAnsi="仿宋" w:eastAsia="仿宋" w:cs="仿宋"/>
                <w:b w:val="0"/>
                <w:bCs w:val="0"/>
                <w:i w:val="0"/>
                <w:iCs w:val="0"/>
                <w:color w:val="auto"/>
                <w:kern w:val="0"/>
                <w:sz w:val="21"/>
                <w:szCs w:val="21"/>
                <w:u w:val="none"/>
                <w:lang w:val="en-US" w:eastAsia="zh-CN" w:bidi="ar"/>
              </w:rPr>
              <w:t>1</w:t>
            </w:r>
          </w:p>
        </w:tc>
        <w:tc>
          <w:tcPr>
            <w:tcW w:w="2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规上企业用能</w:t>
            </w:r>
          </w:p>
        </w:tc>
        <w:tc>
          <w:tcPr>
            <w:tcW w:w="3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u w:val="none"/>
                <w:lang w:val="en-US" w:eastAsia="zh-CN" w:bidi="ar"/>
              </w:rPr>
            </w:pPr>
            <w:r>
              <w:rPr>
                <w:rFonts w:hint="default" w:ascii="仿宋" w:hAnsi="仿宋" w:eastAsia="仿宋" w:cs="仿宋"/>
                <w:b w:val="0"/>
                <w:bCs w:val="0"/>
                <w:i w:val="0"/>
                <w:iCs w:val="0"/>
                <w:color w:val="auto"/>
                <w:kern w:val="0"/>
                <w:sz w:val="21"/>
                <w:szCs w:val="21"/>
                <w:u w:val="none"/>
                <w:lang w:val="en-US" w:eastAsia="zh-CN" w:bidi="ar"/>
              </w:rPr>
              <w:t>3849904.81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u w:val="none"/>
                <w:lang w:val="en-US" w:eastAsia="zh-CN" w:bidi="ar"/>
              </w:rPr>
            </w:pPr>
            <w:r>
              <w:rPr>
                <w:rFonts w:hint="default" w:ascii="仿宋" w:hAnsi="仿宋" w:eastAsia="仿宋" w:cs="仿宋"/>
                <w:b w:val="0"/>
                <w:bCs w:val="0"/>
                <w:i w:val="0"/>
                <w:iCs w:val="0"/>
                <w:color w:val="auto"/>
                <w:kern w:val="0"/>
                <w:sz w:val="21"/>
                <w:szCs w:val="21"/>
                <w:u w:val="none"/>
                <w:lang w:val="en-US" w:eastAsia="zh-CN" w:bidi="ar"/>
              </w:rPr>
              <w:t>2</w:t>
            </w:r>
          </w:p>
        </w:tc>
        <w:tc>
          <w:tcPr>
            <w:tcW w:w="2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非规上企业用能</w:t>
            </w:r>
          </w:p>
        </w:tc>
        <w:tc>
          <w:tcPr>
            <w:tcW w:w="3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u w:val="none"/>
                <w:lang w:val="en-US" w:eastAsia="zh-CN" w:bidi="ar"/>
              </w:rPr>
            </w:pPr>
            <w:r>
              <w:rPr>
                <w:rFonts w:hint="default" w:ascii="仿宋" w:hAnsi="仿宋" w:eastAsia="仿宋" w:cs="仿宋"/>
                <w:b w:val="0"/>
                <w:bCs w:val="0"/>
                <w:i w:val="0"/>
                <w:iCs w:val="0"/>
                <w:color w:val="auto"/>
                <w:kern w:val="0"/>
                <w:sz w:val="21"/>
                <w:szCs w:val="21"/>
                <w:u w:val="none"/>
                <w:lang w:val="en-US" w:eastAsia="zh-CN" w:bidi="ar"/>
              </w:rPr>
              <w:t>115497.14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u w:val="none"/>
                <w:lang w:val="en-US" w:eastAsia="zh-CN" w:bidi="ar"/>
              </w:rPr>
            </w:pPr>
            <w:r>
              <w:rPr>
                <w:rFonts w:hint="default" w:ascii="仿宋" w:hAnsi="仿宋" w:eastAsia="仿宋" w:cs="仿宋"/>
                <w:b w:val="0"/>
                <w:bCs w:val="0"/>
                <w:i w:val="0"/>
                <w:iCs w:val="0"/>
                <w:color w:val="auto"/>
                <w:kern w:val="0"/>
                <w:sz w:val="21"/>
                <w:szCs w:val="21"/>
                <w:u w:val="none"/>
                <w:lang w:val="en-US" w:eastAsia="zh-CN" w:bidi="ar"/>
              </w:rPr>
              <w:t>3</w:t>
            </w:r>
          </w:p>
        </w:tc>
        <w:tc>
          <w:tcPr>
            <w:tcW w:w="2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附属用能</w:t>
            </w:r>
          </w:p>
        </w:tc>
        <w:tc>
          <w:tcPr>
            <w:tcW w:w="3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u w:val="none"/>
                <w:lang w:val="en-US" w:eastAsia="zh-CN" w:bidi="ar"/>
              </w:rPr>
            </w:pPr>
            <w:r>
              <w:rPr>
                <w:rFonts w:hint="default" w:ascii="仿宋" w:hAnsi="仿宋" w:eastAsia="仿宋" w:cs="仿宋"/>
                <w:b w:val="0"/>
                <w:bCs w:val="0"/>
                <w:i w:val="0"/>
                <w:iCs w:val="0"/>
                <w:color w:val="auto"/>
                <w:kern w:val="0"/>
                <w:sz w:val="21"/>
                <w:szCs w:val="21"/>
                <w:u w:val="none"/>
                <w:lang w:val="en-US" w:eastAsia="zh-CN" w:bidi="ar"/>
              </w:rPr>
              <w:t>115497.14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u w:val="none"/>
                <w:lang w:val="en-US" w:eastAsia="zh-CN" w:bidi="ar"/>
              </w:rPr>
            </w:pPr>
            <w:r>
              <w:rPr>
                <w:rFonts w:hint="default" w:ascii="仿宋" w:hAnsi="仿宋" w:eastAsia="仿宋" w:cs="仿宋"/>
                <w:b w:val="0"/>
                <w:bCs w:val="0"/>
                <w:i w:val="0"/>
                <w:iCs w:val="0"/>
                <w:color w:val="auto"/>
                <w:kern w:val="0"/>
                <w:sz w:val="21"/>
                <w:szCs w:val="21"/>
                <w:u w:val="none"/>
                <w:lang w:val="en-US" w:eastAsia="zh-CN" w:bidi="ar"/>
              </w:rPr>
              <w:t>4</w:t>
            </w:r>
          </w:p>
        </w:tc>
        <w:tc>
          <w:tcPr>
            <w:tcW w:w="2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居民用能</w:t>
            </w:r>
          </w:p>
        </w:tc>
        <w:tc>
          <w:tcPr>
            <w:tcW w:w="3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u w:val="none"/>
                <w:lang w:val="en-US" w:eastAsia="zh-CN" w:bidi="ar"/>
              </w:rPr>
            </w:pPr>
            <w:r>
              <w:rPr>
                <w:rFonts w:hint="default" w:ascii="仿宋" w:hAnsi="仿宋" w:eastAsia="仿宋" w:cs="仿宋"/>
                <w:b w:val="0"/>
                <w:bCs w:val="0"/>
                <w:i w:val="0"/>
                <w:iCs w:val="0"/>
                <w:color w:val="auto"/>
                <w:kern w:val="0"/>
                <w:sz w:val="21"/>
                <w:szCs w:val="21"/>
                <w:u w:val="none"/>
                <w:lang w:val="en-US" w:eastAsia="zh-CN" w:bidi="ar"/>
              </w:rPr>
              <w:t>193063.27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u w:val="none"/>
                <w:lang w:val="en-US" w:eastAsia="zh-CN" w:bidi="ar"/>
              </w:rPr>
            </w:pPr>
            <w:r>
              <w:rPr>
                <w:rFonts w:hint="default" w:ascii="仿宋" w:hAnsi="仿宋" w:eastAsia="仿宋" w:cs="仿宋"/>
                <w:b w:val="0"/>
                <w:bCs w:val="0"/>
                <w:i w:val="0"/>
                <w:iCs w:val="0"/>
                <w:color w:val="auto"/>
                <w:kern w:val="0"/>
                <w:sz w:val="21"/>
                <w:szCs w:val="21"/>
                <w:u w:val="none"/>
                <w:lang w:val="en-US" w:eastAsia="zh-CN" w:bidi="ar"/>
              </w:rPr>
              <w:t>5</w:t>
            </w:r>
          </w:p>
        </w:tc>
        <w:tc>
          <w:tcPr>
            <w:tcW w:w="2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服务业用能</w:t>
            </w:r>
          </w:p>
        </w:tc>
        <w:tc>
          <w:tcPr>
            <w:tcW w:w="3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u w:val="none"/>
                <w:lang w:val="en-US" w:eastAsia="zh-CN" w:bidi="ar"/>
              </w:rPr>
            </w:pPr>
            <w:r>
              <w:rPr>
                <w:rFonts w:hint="default" w:ascii="仿宋" w:hAnsi="仿宋" w:eastAsia="仿宋" w:cs="仿宋"/>
                <w:b w:val="0"/>
                <w:bCs w:val="0"/>
                <w:i w:val="0"/>
                <w:iCs w:val="0"/>
                <w:color w:val="auto"/>
                <w:kern w:val="0"/>
                <w:sz w:val="21"/>
                <w:szCs w:val="21"/>
                <w:u w:val="none"/>
                <w:lang w:val="en-US" w:eastAsia="zh-CN" w:bidi="ar"/>
              </w:rPr>
              <w:t>192495.24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u w:val="none"/>
                <w:lang w:val="en-US" w:eastAsia="zh-CN" w:bidi="ar"/>
              </w:rPr>
            </w:pPr>
            <w:r>
              <w:rPr>
                <w:rFonts w:hint="default" w:ascii="仿宋" w:hAnsi="仿宋" w:eastAsia="仿宋" w:cs="仿宋"/>
                <w:b w:val="0"/>
                <w:bCs w:val="0"/>
                <w:i w:val="0"/>
                <w:iCs w:val="0"/>
                <w:color w:val="auto"/>
                <w:kern w:val="0"/>
                <w:sz w:val="21"/>
                <w:szCs w:val="21"/>
                <w:u w:val="none"/>
                <w:lang w:val="en-US" w:eastAsia="zh-CN" w:bidi="ar"/>
              </w:rPr>
              <w:t>6</w:t>
            </w:r>
          </w:p>
        </w:tc>
        <w:tc>
          <w:tcPr>
            <w:tcW w:w="2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合计</w:t>
            </w:r>
          </w:p>
        </w:tc>
        <w:tc>
          <w:tcPr>
            <w:tcW w:w="3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u w:val="none"/>
                <w:lang w:val="en-US" w:eastAsia="zh-CN" w:bidi="ar"/>
              </w:rPr>
            </w:pPr>
            <w:r>
              <w:rPr>
                <w:rFonts w:hint="default" w:ascii="仿宋" w:hAnsi="仿宋" w:eastAsia="仿宋" w:cs="仿宋"/>
                <w:b w:val="0"/>
                <w:bCs w:val="0"/>
                <w:i w:val="0"/>
                <w:iCs w:val="0"/>
                <w:color w:val="auto"/>
                <w:kern w:val="0"/>
                <w:sz w:val="21"/>
                <w:szCs w:val="21"/>
                <w:u w:val="none"/>
                <w:lang w:val="en-US" w:eastAsia="zh-CN" w:bidi="ar"/>
              </w:rPr>
              <w:t>4466457.6</w:t>
            </w:r>
          </w:p>
        </w:tc>
      </w:tr>
    </w:tbl>
    <w:p>
      <w:pPr>
        <w:pStyle w:val="3"/>
        <w:bidi w:val="0"/>
        <w:rPr>
          <w:rFonts w:hint="eastAsia"/>
          <w:color w:val="auto"/>
          <w:lang w:val="en-US" w:eastAsia="zh-CN"/>
        </w:rPr>
      </w:pPr>
      <w:bookmarkStart w:id="33" w:name="_Toc17384"/>
      <w:r>
        <w:rPr>
          <w:rFonts w:hint="eastAsia"/>
          <w:color w:val="auto"/>
          <w:lang w:val="en-US" w:eastAsia="zh-CN"/>
        </w:rPr>
        <w:t>3.4 区域节能“双控”指标确定</w:t>
      </w:r>
      <w:bookmarkEnd w:id="33"/>
    </w:p>
    <w:p>
      <w:pPr>
        <w:rPr>
          <w:rFonts w:hint="default"/>
          <w:color w:val="auto"/>
          <w:lang w:val="en-US" w:eastAsia="zh-CN"/>
        </w:rPr>
      </w:pPr>
      <w:r>
        <w:rPr>
          <w:rFonts w:hint="default"/>
          <w:color w:val="auto"/>
          <w:lang w:val="en-US" w:eastAsia="zh-CN"/>
        </w:rPr>
        <w:t>根据《省发展改革委关于进一步加强“十四五”时期用能管理的通知》（黔发改环资〔202</w:t>
      </w:r>
      <w:r>
        <w:rPr>
          <w:rFonts w:hint="eastAsia"/>
          <w:color w:val="auto"/>
          <w:lang w:val="en-US" w:eastAsia="zh-CN"/>
        </w:rPr>
        <w:t>2</w:t>
      </w:r>
      <w:r>
        <w:rPr>
          <w:rFonts w:hint="default"/>
          <w:color w:val="auto"/>
          <w:lang w:val="en-US" w:eastAsia="zh-CN"/>
        </w:rPr>
        <w:t>〕</w:t>
      </w:r>
      <w:r>
        <w:rPr>
          <w:rFonts w:hint="eastAsia"/>
          <w:color w:val="auto"/>
          <w:lang w:val="en-US" w:eastAsia="zh-CN"/>
        </w:rPr>
        <w:t>385</w:t>
      </w:r>
      <w:r>
        <w:rPr>
          <w:rFonts w:hint="default"/>
          <w:color w:val="auto"/>
          <w:lang w:val="en-US" w:eastAsia="zh-CN"/>
        </w:rPr>
        <w:t>号），贵阳市“十四五”期间能源消费增量为</w:t>
      </w:r>
      <w:r>
        <w:rPr>
          <w:rFonts w:hint="eastAsia"/>
          <w:color w:val="auto"/>
          <w:lang w:val="en-US" w:eastAsia="zh-CN"/>
        </w:rPr>
        <w:t>357</w:t>
      </w:r>
      <w:r>
        <w:rPr>
          <w:rFonts w:hint="default"/>
          <w:color w:val="auto"/>
          <w:lang w:val="en-US" w:eastAsia="zh-CN"/>
        </w:rPr>
        <w:t>万吨标准煤，增加值能耗下降1</w:t>
      </w:r>
      <w:r>
        <w:rPr>
          <w:rFonts w:hint="eastAsia"/>
          <w:color w:val="auto"/>
          <w:lang w:val="en-US" w:eastAsia="zh-CN"/>
        </w:rPr>
        <w:t>3</w:t>
      </w:r>
      <w:r>
        <w:rPr>
          <w:rFonts w:hint="default"/>
          <w:color w:val="auto"/>
          <w:lang w:val="en-US" w:eastAsia="zh-CN"/>
        </w:rPr>
        <w:t>%，结合贵阳市2020年总能耗为2256.33万吨标准煤，单位GDP能耗为0.5233tce/万元，地区生产总值按年均增长8%计算，至2025年，贵阳市GDP达到7000亿元，单位GDP能耗较2020年下降1</w:t>
      </w:r>
      <w:r>
        <w:rPr>
          <w:rFonts w:hint="eastAsia"/>
          <w:color w:val="auto"/>
          <w:lang w:val="en-US" w:eastAsia="zh-CN"/>
        </w:rPr>
        <w:t>3</w:t>
      </w:r>
      <w:r>
        <w:rPr>
          <w:rFonts w:hint="default"/>
          <w:color w:val="auto"/>
          <w:lang w:val="en-US" w:eastAsia="zh-CN"/>
        </w:rPr>
        <w:t>%为0.4</w:t>
      </w:r>
      <w:r>
        <w:rPr>
          <w:rFonts w:hint="eastAsia"/>
          <w:color w:val="auto"/>
          <w:lang w:val="en-US" w:eastAsia="zh-CN"/>
        </w:rPr>
        <w:t>553</w:t>
      </w:r>
      <w:r>
        <w:rPr>
          <w:rFonts w:hint="default"/>
          <w:color w:val="auto"/>
          <w:lang w:val="en-US" w:eastAsia="zh-CN"/>
        </w:rPr>
        <w:t>tce/万元，确定了贵阳市“十四五”末用能总量控制指标为</w:t>
      </w:r>
      <w:r>
        <w:rPr>
          <w:rFonts w:hint="eastAsia"/>
          <w:color w:val="auto"/>
          <w:lang w:val="en-US" w:eastAsia="zh-CN"/>
        </w:rPr>
        <w:t>3187.1</w:t>
      </w:r>
      <w:r>
        <w:rPr>
          <w:rFonts w:hint="default"/>
          <w:color w:val="auto"/>
          <w:lang w:val="en-US" w:eastAsia="zh-CN"/>
        </w:rPr>
        <w:t>万吨标准煤（等价值）。贵阳市“十四五”期间双控指标具体见表3-</w:t>
      </w:r>
      <w:r>
        <w:rPr>
          <w:rFonts w:hint="eastAsia"/>
          <w:color w:val="auto"/>
          <w:lang w:val="en-US" w:eastAsia="zh-CN"/>
        </w:rPr>
        <w:t>45</w:t>
      </w:r>
      <w:r>
        <w:rPr>
          <w:rFonts w:hint="default"/>
          <w:color w:val="auto"/>
          <w:lang w:val="en-US" w:eastAsia="zh-CN"/>
        </w:rPr>
        <w:t>。</w:t>
      </w:r>
    </w:p>
    <w:p>
      <w:pPr>
        <w:jc w:val="center"/>
        <w:rPr>
          <w:rFonts w:hint="default"/>
          <w:color w:val="auto"/>
          <w:lang w:val="en-US" w:eastAsia="zh-CN"/>
        </w:rPr>
      </w:pPr>
      <w:r>
        <w:rPr>
          <w:rFonts w:hint="default"/>
          <w:color w:val="auto"/>
          <w:lang w:val="en-US" w:eastAsia="zh-CN"/>
        </w:rPr>
        <w:t>表3-</w:t>
      </w:r>
      <w:r>
        <w:rPr>
          <w:rFonts w:hint="eastAsia"/>
          <w:color w:val="auto"/>
          <w:lang w:val="en-US" w:eastAsia="zh-CN"/>
        </w:rPr>
        <w:t xml:space="preserve">45 </w:t>
      </w:r>
      <w:r>
        <w:rPr>
          <w:rFonts w:hint="default"/>
          <w:color w:val="auto"/>
          <w:lang w:val="en-US" w:eastAsia="zh-CN"/>
        </w:rPr>
        <w:t>贵阳市“十三五”期间双控指标</w:t>
      </w:r>
    </w:p>
    <w:tbl>
      <w:tblPr>
        <w:tblStyle w:val="11"/>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7"/>
        <w:gridCol w:w="2434"/>
        <w:gridCol w:w="1536"/>
        <w:gridCol w:w="1437"/>
        <w:gridCol w:w="1437"/>
        <w:gridCol w:w="10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序号</w:t>
            </w:r>
          </w:p>
        </w:tc>
        <w:tc>
          <w:tcPr>
            <w:tcW w:w="142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项目</w:t>
            </w:r>
          </w:p>
        </w:tc>
        <w:tc>
          <w:tcPr>
            <w:tcW w:w="9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单位</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“十三五”末</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“十四五”末</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年均增幅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p>
        </w:tc>
        <w:tc>
          <w:tcPr>
            <w:tcW w:w="1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p>
        </w:tc>
        <w:tc>
          <w:tcPr>
            <w:tcW w:w="9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（2020年）</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（2025年）</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w:t>
            </w: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能源消耗总量（等价值）</w:t>
            </w:r>
          </w:p>
        </w:tc>
        <w:tc>
          <w:tcPr>
            <w:tcW w:w="9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万吨标准煤</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2256.33</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3187.1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w:t>
            </w: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单位GDP综合能耗</w:t>
            </w:r>
          </w:p>
        </w:tc>
        <w:tc>
          <w:tcPr>
            <w:tcW w:w="9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吨标准煤/万元</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0.5233</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0.4553</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w:t>
            </w:r>
            <w:r>
              <w:rPr>
                <w:rFonts w:hint="eastAsia" w:ascii="仿宋" w:hAnsi="仿宋" w:cs="仿宋"/>
                <w:b w:val="0"/>
                <w:bCs w:val="0"/>
                <w:i w:val="0"/>
                <w:iCs w:val="0"/>
                <w:color w:val="auto"/>
                <w:kern w:val="0"/>
                <w:sz w:val="18"/>
                <w:szCs w:val="18"/>
                <w:u w:val="none"/>
                <w:lang w:val="en-US" w:eastAsia="zh-CN" w:bidi="ar"/>
              </w:rPr>
              <w:t>2.6</w:t>
            </w:r>
          </w:p>
        </w:tc>
      </w:tr>
    </w:tbl>
    <w:p>
      <w:pPr>
        <w:bidi w:val="0"/>
        <w:rPr>
          <w:rFonts w:hint="eastAsia"/>
          <w:color w:val="auto"/>
          <w:lang w:val="en-US" w:eastAsia="zh-CN"/>
        </w:rPr>
      </w:pPr>
      <w:r>
        <w:rPr>
          <w:rFonts w:hint="eastAsia"/>
          <w:color w:val="auto"/>
          <w:lang w:val="en-US" w:eastAsia="zh-CN"/>
        </w:rPr>
        <w:t>根据开发区规上企业数据，2020年开发区规上企业工业增加值能耗为4.5455tce/万元。根据开发区发展进度的不同，本次区域能评经测算后，形成并提出区域的“双控”目标，具体如下表所示：</w:t>
      </w:r>
    </w:p>
    <w:p>
      <w:pPr>
        <w:bidi w:val="0"/>
        <w:jc w:val="center"/>
        <w:rPr>
          <w:rFonts w:hint="eastAsia"/>
          <w:color w:val="auto"/>
          <w:lang w:val="en-US" w:eastAsia="zh-CN"/>
        </w:rPr>
      </w:pPr>
      <w:r>
        <w:rPr>
          <w:rFonts w:hint="eastAsia"/>
          <w:color w:val="auto"/>
          <w:lang w:val="en-US" w:eastAsia="zh-CN"/>
        </w:rPr>
        <w:t>表3-46 区域“双控”目标表（规上工业企业）</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227"/>
        <w:gridCol w:w="2146"/>
        <w:gridCol w:w="21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指标</w:t>
            </w:r>
          </w:p>
        </w:tc>
        <w:tc>
          <w:tcPr>
            <w:tcW w:w="1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202</w:t>
            </w:r>
            <w:r>
              <w:rPr>
                <w:rFonts w:hint="eastAsia" w:ascii="仿宋" w:hAnsi="仿宋" w:cs="仿宋"/>
                <w:b w:val="0"/>
                <w:bCs w:val="0"/>
                <w:i w:val="0"/>
                <w:iCs w:val="0"/>
                <w:color w:val="auto"/>
                <w:kern w:val="0"/>
                <w:sz w:val="18"/>
                <w:szCs w:val="18"/>
                <w:u w:val="none"/>
                <w:lang w:val="en-US" w:eastAsia="zh-CN" w:bidi="ar"/>
              </w:rPr>
              <w:t>0</w:t>
            </w:r>
            <w:r>
              <w:rPr>
                <w:rFonts w:hint="default" w:ascii="仿宋" w:hAnsi="仿宋" w:eastAsia="仿宋" w:cs="仿宋"/>
                <w:b w:val="0"/>
                <w:bCs w:val="0"/>
                <w:i w:val="0"/>
                <w:iCs w:val="0"/>
                <w:color w:val="auto"/>
                <w:kern w:val="0"/>
                <w:sz w:val="18"/>
                <w:szCs w:val="18"/>
                <w:u w:val="none"/>
                <w:lang w:val="en-US" w:eastAsia="zh-CN" w:bidi="ar"/>
              </w:rPr>
              <w:t>年</w:t>
            </w:r>
          </w:p>
        </w:tc>
        <w:tc>
          <w:tcPr>
            <w:tcW w:w="1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区域工业总能耗（tce）</w:t>
            </w:r>
          </w:p>
        </w:tc>
        <w:tc>
          <w:tcPr>
            <w:tcW w:w="2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1354198.46</w:t>
            </w:r>
          </w:p>
        </w:tc>
        <w:tc>
          <w:tcPr>
            <w:tcW w:w="2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3849904.81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区域</w:t>
            </w:r>
            <w:r>
              <w:rPr>
                <w:rFonts w:hint="eastAsia" w:ascii="仿宋" w:hAnsi="仿宋" w:cs="仿宋"/>
                <w:b w:val="0"/>
                <w:bCs w:val="0"/>
                <w:i w:val="0"/>
                <w:iCs w:val="0"/>
                <w:color w:val="auto"/>
                <w:kern w:val="0"/>
                <w:sz w:val="18"/>
                <w:szCs w:val="18"/>
                <w:u w:val="none"/>
                <w:lang w:val="en-US" w:eastAsia="zh-CN" w:bidi="ar"/>
              </w:rPr>
              <w:t>工业</w:t>
            </w:r>
            <w:r>
              <w:rPr>
                <w:rFonts w:hint="default" w:ascii="仿宋" w:hAnsi="仿宋" w:eastAsia="仿宋" w:cs="仿宋"/>
                <w:b w:val="0"/>
                <w:bCs w:val="0"/>
                <w:i w:val="0"/>
                <w:iCs w:val="0"/>
                <w:color w:val="auto"/>
                <w:kern w:val="0"/>
                <w:sz w:val="18"/>
                <w:szCs w:val="18"/>
                <w:u w:val="none"/>
                <w:lang w:val="en-US" w:eastAsia="zh-CN" w:bidi="ar"/>
              </w:rPr>
              <w:t>增加值（万元）</w:t>
            </w:r>
          </w:p>
        </w:tc>
        <w:tc>
          <w:tcPr>
            <w:tcW w:w="2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297919.66</w:t>
            </w:r>
          </w:p>
        </w:tc>
        <w:tc>
          <w:tcPr>
            <w:tcW w:w="2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2506756.31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区域增加值能耗(tce/万元)</w:t>
            </w:r>
          </w:p>
        </w:tc>
        <w:tc>
          <w:tcPr>
            <w:tcW w:w="2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4.5455</w:t>
            </w:r>
          </w:p>
        </w:tc>
        <w:tc>
          <w:tcPr>
            <w:tcW w:w="2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18"/>
                <w:szCs w:val="18"/>
                <w:u w:val="none"/>
                <w:lang w:val="en-US" w:eastAsia="zh-CN" w:bidi="ar"/>
              </w:rPr>
            </w:pPr>
            <w:r>
              <w:rPr>
                <w:rFonts w:hint="default" w:ascii="仿宋" w:hAnsi="仿宋" w:eastAsia="仿宋" w:cs="仿宋"/>
                <w:b w:val="0"/>
                <w:bCs w:val="0"/>
                <w:i w:val="0"/>
                <w:iCs w:val="0"/>
                <w:color w:val="auto"/>
                <w:kern w:val="0"/>
                <w:sz w:val="18"/>
                <w:szCs w:val="18"/>
                <w:u w:val="none"/>
                <w:lang w:val="en-US" w:eastAsia="zh-CN" w:bidi="ar"/>
              </w:rPr>
              <w:t>1.5358</w:t>
            </w:r>
          </w:p>
        </w:tc>
      </w:tr>
    </w:tbl>
    <w:p>
      <w:pPr>
        <w:bidi w:val="0"/>
        <w:rPr>
          <w:rFonts w:hint="eastAsia"/>
          <w:color w:val="auto"/>
          <w:lang w:val="en-US" w:eastAsia="zh-CN"/>
        </w:rPr>
      </w:pPr>
      <w:r>
        <w:rPr>
          <w:rFonts w:hint="eastAsia"/>
          <w:color w:val="auto"/>
          <w:lang w:val="en-US" w:eastAsia="zh-CN"/>
        </w:rPr>
        <w:t>非规上工业企业工业增加值占全部工业增加值的8.1%计算，2025年，非规上工业企业工业增加值为220943.7万元。</w:t>
      </w:r>
    </w:p>
    <w:p>
      <w:pPr>
        <w:bidi w:val="0"/>
        <w:rPr>
          <w:rFonts w:hint="default"/>
          <w:color w:val="auto"/>
          <w:lang w:val="en-US" w:eastAsia="zh-CN"/>
        </w:rPr>
      </w:pPr>
      <w:r>
        <w:rPr>
          <w:rFonts w:hint="eastAsia"/>
          <w:color w:val="auto"/>
          <w:lang w:val="en-US" w:eastAsia="zh-CN"/>
        </w:rPr>
        <w:t>非规上工业企业增加值=2506756.31÷91.9%×8.1%=220943.7亿元。同理测算2020年非规上工业企业增加值为26258.42亿元。</w:t>
      </w:r>
    </w:p>
    <w:p>
      <w:pPr>
        <w:bidi w:val="0"/>
        <w:rPr>
          <w:rFonts w:hint="default"/>
          <w:color w:val="auto"/>
          <w:lang w:val="en-US" w:eastAsia="zh-CN"/>
        </w:rPr>
      </w:pPr>
      <w:r>
        <w:rPr>
          <w:rFonts w:hint="eastAsia"/>
          <w:color w:val="auto"/>
          <w:lang w:val="en-US" w:eastAsia="zh-CN"/>
        </w:rPr>
        <w:t>经测算，开发区2025年服务业能耗约为192495.24tce。按贵阳市2020年三产增加值能耗为0.3768吨标准煤/万元，可推算至2025年，开发区服务业增加值为510868.47万元。同理测算2020年开发区服务业增加值为179697.25万元。</w:t>
      </w:r>
    </w:p>
    <w:p>
      <w:pPr>
        <w:bidi w:val="0"/>
        <w:rPr>
          <w:rFonts w:hint="eastAsia"/>
          <w:color w:val="auto"/>
          <w:highlight w:val="none"/>
          <w:lang w:val="en-US" w:eastAsia="zh-CN"/>
        </w:rPr>
      </w:pPr>
      <w:r>
        <w:rPr>
          <w:rFonts w:hint="eastAsia"/>
          <w:color w:val="auto"/>
          <w:highlight w:val="none"/>
          <w:lang w:val="en-US" w:eastAsia="zh-CN"/>
        </w:rPr>
        <w:t>结合开发区现有企业发展现状与预计发展势头分析，开发区未来产业发展将朝着平均增长的趋势进行，预计到2025年，开发区内企业全部投产，区域用能将达到正常水平，进而可以确定区域节能“双控”指标情况，具体如下：</w:t>
      </w:r>
    </w:p>
    <w:p>
      <w:pPr>
        <w:bidi w:val="0"/>
        <w:jc w:val="center"/>
        <w:rPr>
          <w:rFonts w:hint="eastAsia"/>
          <w:color w:val="auto"/>
          <w:highlight w:val="none"/>
          <w:lang w:val="en-US" w:eastAsia="zh-CN"/>
        </w:rPr>
      </w:pPr>
      <w:r>
        <w:rPr>
          <w:rFonts w:hint="eastAsia"/>
          <w:color w:val="auto"/>
          <w:highlight w:val="none"/>
          <w:lang w:val="en-US" w:eastAsia="zh-CN"/>
        </w:rPr>
        <w:t>表3-47 区域节能“双控”指标表（全社会）</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007"/>
        <w:gridCol w:w="2344"/>
        <w:gridCol w:w="21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3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highlight w:val="none"/>
                <w:u w:val="none"/>
                <w:lang w:val="en-US" w:eastAsia="zh-CN" w:bidi="ar"/>
              </w:rPr>
            </w:pPr>
            <w:r>
              <w:rPr>
                <w:rFonts w:hint="eastAsia" w:ascii="仿宋" w:hAnsi="仿宋" w:eastAsia="仿宋" w:cs="仿宋"/>
                <w:b w:val="0"/>
                <w:bCs w:val="0"/>
                <w:i w:val="0"/>
                <w:iCs w:val="0"/>
                <w:color w:val="auto"/>
                <w:kern w:val="0"/>
                <w:sz w:val="21"/>
                <w:szCs w:val="21"/>
                <w:highlight w:val="none"/>
                <w:u w:val="none"/>
                <w:lang w:val="en-US" w:eastAsia="zh-CN" w:bidi="ar"/>
              </w:rPr>
              <w:t>指标名称</w:t>
            </w:r>
          </w:p>
        </w:tc>
        <w:tc>
          <w:tcPr>
            <w:tcW w:w="13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highlight w:val="none"/>
                <w:u w:val="none"/>
                <w:lang w:val="en-US" w:eastAsia="zh-CN" w:bidi="ar"/>
              </w:rPr>
            </w:pPr>
            <w:r>
              <w:rPr>
                <w:rFonts w:hint="eastAsia" w:ascii="仿宋" w:hAnsi="仿宋" w:eastAsia="仿宋" w:cs="仿宋"/>
                <w:b w:val="0"/>
                <w:bCs w:val="0"/>
                <w:i w:val="0"/>
                <w:iCs w:val="0"/>
                <w:color w:val="auto"/>
                <w:kern w:val="0"/>
                <w:sz w:val="21"/>
                <w:szCs w:val="21"/>
                <w:highlight w:val="none"/>
                <w:u w:val="none"/>
                <w:lang w:val="en-US" w:eastAsia="zh-CN" w:bidi="ar"/>
              </w:rPr>
              <w:t>单位</w:t>
            </w:r>
          </w:p>
        </w:tc>
        <w:tc>
          <w:tcPr>
            <w:tcW w:w="1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highlight w:val="none"/>
                <w:u w:val="none"/>
                <w:lang w:val="en-US" w:eastAsia="zh-CN" w:bidi="ar"/>
              </w:rPr>
            </w:pPr>
            <w:r>
              <w:rPr>
                <w:rFonts w:hint="eastAsia" w:ascii="仿宋" w:hAnsi="仿宋" w:eastAsia="仿宋" w:cs="仿宋"/>
                <w:b w:val="0"/>
                <w:bCs w:val="0"/>
                <w:i w:val="0"/>
                <w:iCs w:val="0"/>
                <w:color w:val="auto"/>
                <w:kern w:val="0"/>
                <w:sz w:val="21"/>
                <w:szCs w:val="21"/>
                <w:highlight w:val="none"/>
                <w:u w:val="none"/>
                <w:lang w:val="en-US" w:eastAsia="zh-CN" w:bidi="ar"/>
              </w:rPr>
              <w:t>控制目标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highlight w:val="none"/>
                <w:u w:val="none"/>
                <w:lang w:val="en-US" w:eastAsia="zh-CN" w:bidi="ar"/>
              </w:rPr>
            </w:pPr>
            <w:r>
              <w:rPr>
                <w:rFonts w:hint="default" w:ascii="仿宋" w:hAnsi="仿宋" w:eastAsia="仿宋" w:cs="仿宋"/>
                <w:b w:val="0"/>
                <w:bCs w:val="0"/>
                <w:i w:val="0"/>
                <w:iCs w:val="0"/>
                <w:color w:val="auto"/>
                <w:kern w:val="0"/>
                <w:sz w:val="21"/>
                <w:szCs w:val="21"/>
                <w:highlight w:val="none"/>
                <w:u w:val="none"/>
                <w:lang w:val="en-US" w:eastAsia="zh-CN" w:bidi="ar"/>
              </w:rPr>
              <w:t>2020</w:t>
            </w:r>
            <w:r>
              <w:rPr>
                <w:rFonts w:hint="eastAsia" w:ascii="仿宋" w:hAnsi="仿宋" w:eastAsia="仿宋" w:cs="仿宋"/>
                <w:b w:val="0"/>
                <w:bCs w:val="0"/>
                <w:i w:val="0"/>
                <w:iCs w:val="0"/>
                <w:color w:val="auto"/>
                <w:kern w:val="0"/>
                <w:sz w:val="21"/>
                <w:szCs w:val="21"/>
                <w:highlight w:val="none"/>
                <w:u w:val="none"/>
                <w:lang w:val="en-US" w:eastAsia="zh-CN" w:bidi="ar"/>
              </w:rPr>
              <w:t>年末能源消费总量</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highlight w:val="none"/>
                <w:u w:val="none"/>
                <w:lang w:val="en-US" w:eastAsia="zh-CN" w:bidi="ar"/>
              </w:rPr>
            </w:pPr>
            <w:r>
              <w:rPr>
                <w:rFonts w:hint="eastAsia" w:ascii="仿宋" w:hAnsi="仿宋" w:eastAsia="仿宋" w:cs="仿宋"/>
                <w:b w:val="0"/>
                <w:bCs w:val="0"/>
                <w:i w:val="0"/>
                <w:iCs w:val="0"/>
                <w:color w:val="auto"/>
                <w:kern w:val="0"/>
                <w:sz w:val="21"/>
                <w:szCs w:val="21"/>
                <w:highlight w:val="none"/>
                <w:u w:val="none"/>
                <w:lang w:val="en-US" w:eastAsia="zh-CN" w:bidi="ar"/>
              </w:rPr>
              <w:t>万吨标煤</w:t>
            </w:r>
          </w:p>
        </w:tc>
        <w:tc>
          <w:tcPr>
            <w:tcW w:w="2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highlight w:val="none"/>
                <w:u w:val="none"/>
                <w:lang w:val="en-US" w:eastAsia="zh-CN" w:bidi="ar"/>
              </w:rPr>
            </w:pPr>
            <w:r>
              <w:rPr>
                <w:rFonts w:hint="eastAsia" w:ascii="仿宋" w:hAnsi="仿宋" w:eastAsia="仿宋" w:cs="仿宋"/>
                <w:b w:val="0"/>
                <w:bCs w:val="0"/>
                <w:i w:val="0"/>
                <w:iCs w:val="0"/>
                <w:color w:val="auto"/>
                <w:kern w:val="0"/>
                <w:sz w:val="21"/>
                <w:szCs w:val="21"/>
                <w:highlight w:val="none"/>
                <w:u w:val="none"/>
                <w:lang w:val="en-US" w:eastAsia="zh-CN" w:bidi="ar"/>
              </w:rPr>
              <w:t>157.09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highlight w:val="none"/>
                <w:u w:val="none"/>
                <w:lang w:val="en-US" w:eastAsia="zh-CN" w:bidi="ar"/>
              </w:rPr>
            </w:pPr>
            <w:r>
              <w:rPr>
                <w:rFonts w:hint="default" w:ascii="仿宋" w:hAnsi="仿宋" w:eastAsia="仿宋" w:cs="仿宋"/>
                <w:b w:val="0"/>
                <w:bCs w:val="0"/>
                <w:i w:val="0"/>
                <w:iCs w:val="0"/>
                <w:color w:val="auto"/>
                <w:kern w:val="0"/>
                <w:sz w:val="21"/>
                <w:szCs w:val="21"/>
                <w:highlight w:val="none"/>
                <w:u w:val="none"/>
                <w:lang w:val="en-US" w:eastAsia="zh-CN" w:bidi="ar"/>
              </w:rPr>
              <w:t>2020</w:t>
            </w:r>
            <w:r>
              <w:rPr>
                <w:rFonts w:hint="eastAsia" w:ascii="仿宋" w:hAnsi="仿宋" w:eastAsia="仿宋" w:cs="仿宋"/>
                <w:b w:val="0"/>
                <w:bCs w:val="0"/>
                <w:i w:val="0"/>
                <w:iCs w:val="0"/>
                <w:color w:val="auto"/>
                <w:kern w:val="0"/>
                <w:sz w:val="21"/>
                <w:szCs w:val="21"/>
                <w:highlight w:val="none"/>
                <w:u w:val="none"/>
                <w:lang w:val="en-US" w:eastAsia="zh-CN" w:bidi="ar"/>
              </w:rPr>
              <w:t>年末生产总值</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highlight w:val="none"/>
                <w:u w:val="none"/>
                <w:lang w:val="en-US" w:eastAsia="zh-CN" w:bidi="ar"/>
              </w:rPr>
            </w:pPr>
            <w:r>
              <w:rPr>
                <w:rFonts w:hint="eastAsia" w:ascii="仿宋" w:hAnsi="仿宋" w:eastAsia="仿宋" w:cs="仿宋"/>
                <w:b w:val="0"/>
                <w:bCs w:val="0"/>
                <w:i w:val="0"/>
                <w:iCs w:val="0"/>
                <w:color w:val="auto"/>
                <w:kern w:val="0"/>
                <w:sz w:val="21"/>
                <w:szCs w:val="21"/>
                <w:highlight w:val="none"/>
                <w:u w:val="none"/>
                <w:lang w:val="en-US" w:eastAsia="zh-CN" w:bidi="ar"/>
              </w:rPr>
              <w:t>万元</w:t>
            </w:r>
          </w:p>
        </w:tc>
        <w:tc>
          <w:tcPr>
            <w:tcW w:w="2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highlight w:val="none"/>
                <w:u w:val="none"/>
                <w:lang w:val="en-US" w:eastAsia="zh-CN" w:bidi="ar"/>
              </w:rPr>
            </w:pPr>
            <w:r>
              <w:rPr>
                <w:rFonts w:hint="eastAsia" w:ascii="仿宋" w:hAnsi="仿宋" w:eastAsia="仿宋" w:cs="仿宋"/>
                <w:b w:val="0"/>
                <w:bCs w:val="0"/>
                <w:i w:val="0"/>
                <w:iCs w:val="0"/>
                <w:color w:val="auto"/>
                <w:kern w:val="0"/>
                <w:sz w:val="21"/>
                <w:szCs w:val="21"/>
                <w:highlight w:val="none"/>
                <w:u w:val="none"/>
                <w:lang w:val="en-US" w:eastAsia="zh-CN" w:bidi="ar"/>
              </w:rPr>
              <w:t>503875.33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highlight w:val="none"/>
                <w:u w:val="none"/>
                <w:lang w:val="en-US" w:eastAsia="zh-CN" w:bidi="ar"/>
              </w:rPr>
            </w:pPr>
            <w:r>
              <w:rPr>
                <w:rFonts w:hint="default" w:ascii="仿宋" w:hAnsi="仿宋" w:eastAsia="仿宋" w:cs="仿宋"/>
                <w:b w:val="0"/>
                <w:bCs w:val="0"/>
                <w:i w:val="0"/>
                <w:iCs w:val="0"/>
                <w:color w:val="auto"/>
                <w:kern w:val="0"/>
                <w:sz w:val="21"/>
                <w:szCs w:val="21"/>
                <w:highlight w:val="none"/>
                <w:u w:val="none"/>
                <w:lang w:val="en-US" w:eastAsia="zh-CN" w:bidi="ar"/>
              </w:rPr>
              <w:t>2020</w:t>
            </w:r>
            <w:r>
              <w:rPr>
                <w:rFonts w:hint="eastAsia" w:ascii="仿宋" w:hAnsi="仿宋" w:eastAsia="仿宋" w:cs="仿宋"/>
                <w:b w:val="0"/>
                <w:bCs w:val="0"/>
                <w:i w:val="0"/>
                <w:iCs w:val="0"/>
                <w:color w:val="auto"/>
                <w:kern w:val="0"/>
                <w:sz w:val="21"/>
                <w:szCs w:val="21"/>
                <w:highlight w:val="none"/>
                <w:u w:val="none"/>
                <w:lang w:val="en-US" w:eastAsia="zh-CN" w:bidi="ar"/>
              </w:rPr>
              <w:t>年末产值能耗</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highlight w:val="none"/>
                <w:u w:val="none"/>
                <w:lang w:val="en-US" w:eastAsia="zh-CN" w:bidi="ar"/>
              </w:rPr>
            </w:pPr>
            <w:r>
              <w:rPr>
                <w:rFonts w:hint="eastAsia" w:ascii="仿宋" w:hAnsi="仿宋" w:eastAsia="仿宋" w:cs="仿宋"/>
                <w:b w:val="0"/>
                <w:bCs w:val="0"/>
                <w:i w:val="0"/>
                <w:iCs w:val="0"/>
                <w:color w:val="auto"/>
                <w:kern w:val="0"/>
                <w:sz w:val="21"/>
                <w:szCs w:val="21"/>
                <w:highlight w:val="none"/>
                <w:u w:val="none"/>
                <w:lang w:val="en-US" w:eastAsia="zh-CN" w:bidi="ar"/>
              </w:rPr>
              <w:t>吨标煤</w:t>
            </w:r>
            <w:r>
              <w:rPr>
                <w:rFonts w:hint="default" w:ascii="仿宋" w:hAnsi="仿宋" w:eastAsia="仿宋" w:cs="仿宋"/>
                <w:b w:val="0"/>
                <w:bCs w:val="0"/>
                <w:i w:val="0"/>
                <w:iCs w:val="0"/>
                <w:color w:val="auto"/>
                <w:kern w:val="0"/>
                <w:sz w:val="21"/>
                <w:szCs w:val="21"/>
                <w:highlight w:val="none"/>
                <w:u w:val="none"/>
                <w:lang w:val="en-US" w:eastAsia="zh-CN" w:bidi="ar"/>
              </w:rPr>
              <w:t>/</w:t>
            </w:r>
            <w:r>
              <w:rPr>
                <w:rFonts w:hint="eastAsia" w:ascii="仿宋" w:hAnsi="仿宋" w:eastAsia="仿宋" w:cs="仿宋"/>
                <w:b w:val="0"/>
                <w:bCs w:val="0"/>
                <w:i w:val="0"/>
                <w:iCs w:val="0"/>
                <w:color w:val="auto"/>
                <w:kern w:val="0"/>
                <w:sz w:val="21"/>
                <w:szCs w:val="21"/>
                <w:highlight w:val="none"/>
                <w:u w:val="none"/>
                <w:lang w:val="en-US" w:eastAsia="zh-CN" w:bidi="ar"/>
              </w:rPr>
              <w:t>万元</w:t>
            </w:r>
          </w:p>
        </w:tc>
        <w:tc>
          <w:tcPr>
            <w:tcW w:w="2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highlight w:val="none"/>
                <w:u w:val="none"/>
                <w:lang w:val="en-US" w:eastAsia="zh-CN" w:bidi="ar"/>
              </w:rPr>
            </w:pPr>
            <w:r>
              <w:rPr>
                <w:rFonts w:hint="eastAsia" w:ascii="仿宋" w:hAnsi="仿宋" w:eastAsia="仿宋" w:cs="仿宋"/>
                <w:b w:val="0"/>
                <w:bCs w:val="0"/>
                <w:i w:val="0"/>
                <w:iCs w:val="0"/>
                <w:color w:val="auto"/>
                <w:kern w:val="0"/>
                <w:sz w:val="21"/>
                <w:szCs w:val="21"/>
                <w:highlight w:val="none"/>
                <w:u w:val="none"/>
                <w:lang w:val="en-US" w:eastAsia="zh-CN" w:bidi="ar"/>
              </w:rPr>
              <w:t>3.1176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highlight w:val="none"/>
                <w:u w:val="none"/>
                <w:lang w:val="en-US" w:eastAsia="zh-CN" w:bidi="ar"/>
              </w:rPr>
            </w:pPr>
            <w:r>
              <w:rPr>
                <w:rFonts w:hint="default" w:ascii="仿宋" w:hAnsi="仿宋" w:eastAsia="仿宋" w:cs="仿宋"/>
                <w:b w:val="0"/>
                <w:bCs w:val="0"/>
                <w:i w:val="0"/>
                <w:iCs w:val="0"/>
                <w:color w:val="auto"/>
                <w:kern w:val="0"/>
                <w:sz w:val="21"/>
                <w:szCs w:val="21"/>
                <w:highlight w:val="none"/>
                <w:u w:val="none"/>
                <w:lang w:val="en-US" w:eastAsia="zh-CN" w:bidi="ar"/>
              </w:rPr>
              <w:t>2025</w:t>
            </w:r>
            <w:r>
              <w:rPr>
                <w:rFonts w:hint="eastAsia" w:ascii="仿宋" w:hAnsi="仿宋" w:eastAsia="仿宋" w:cs="仿宋"/>
                <w:b w:val="0"/>
                <w:bCs w:val="0"/>
                <w:i w:val="0"/>
                <w:iCs w:val="0"/>
                <w:color w:val="auto"/>
                <w:kern w:val="0"/>
                <w:sz w:val="21"/>
                <w:szCs w:val="21"/>
                <w:highlight w:val="none"/>
                <w:u w:val="none"/>
                <w:lang w:val="en-US" w:eastAsia="zh-CN" w:bidi="ar"/>
              </w:rPr>
              <w:t>年末能源消费总量</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highlight w:val="none"/>
                <w:u w:val="none"/>
                <w:lang w:val="en-US" w:eastAsia="zh-CN" w:bidi="ar"/>
              </w:rPr>
            </w:pPr>
            <w:r>
              <w:rPr>
                <w:rFonts w:hint="eastAsia" w:ascii="仿宋" w:hAnsi="仿宋" w:eastAsia="仿宋" w:cs="仿宋"/>
                <w:b w:val="0"/>
                <w:bCs w:val="0"/>
                <w:i w:val="0"/>
                <w:iCs w:val="0"/>
                <w:color w:val="auto"/>
                <w:kern w:val="0"/>
                <w:sz w:val="21"/>
                <w:szCs w:val="21"/>
                <w:highlight w:val="none"/>
                <w:u w:val="none"/>
                <w:lang w:val="en-US" w:eastAsia="zh-CN" w:bidi="ar"/>
              </w:rPr>
              <w:t>万吨标煤</w:t>
            </w:r>
          </w:p>
        </w:tc>
        <w:tc>
          <w:tcPr>
            <w:tcW w:w="2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highlight w:val="none"/>
                <w:u w:val="none"/>
                <w:lang w:val="en-US" w:eastAsia="zh-CN" w:bidi="ar"/>
              </w:rPr>
            </w:pPr>
            <w:r>
              <w:rPr>
                <w:rFonts w:hint="default" w:ascii="仿宋" w:hAnsi="仿宋" w:eastAsia="仿宋" w:cs="仿宋"/>
                <w:b w:val="0"/>
                <w:bCs w:val="0"/>
                <w:i w:val="0"/>
                <w:iCs w:val="0"/>
                <w:color w:val="auto"/>
                <w:kern w:val="0"/>
                <w:sz w:val="21"/>
                <w:szCs w:val="21"/>
                <w:highlight w:val="none"/>
                <w:u w:val="none"/>
                <w:lang w:val="en-US" w:eastAsia="zh-CN" w:bidi="ar"/>
              </w:rPr>
              <w:t>446.65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highlight w:val="none"/>
                <w:u w:val="none"/>
                <w:lang w:val="en-US" w:eastAsia="zh-CN" w:bidi="ar"/>
              </w:rPr>
            </w:pPr>
            <w:r>
              <w:rPr>
                <w:rFonts w:hint="default" w:ascii="仿宋" w:hAnsi="仿宋" w:eastAsia="仿宋" w:cs="仿宋"/>
                <w:b w:val="0"/>
                <w:bCs w:val="0"/>
                <w:i w:val="0"/>
                <w:iCs w:val="0"/>
                <w:color w:val="auto"/>
                <w:kern w:val="0"/>
                <w:sz w:val="21"/>
                <w:szCs w:val="21"/>
                <w:highlight w:val="none"/>
                <w:u w:val="none"/>
                <w:lang w:val="en-US" w:eastAsia="zh-CN" w:bidi="ar"/>
              </w:rPr>
              <w:t>2025</w:t>
            </w:r>
            <w:r>
              <w:rPr>
                <w:rFonts w:hint="eastAsia" w:ascii="仿宋" w:hAnsi="仿宋" w:eastAsia="仿宋" w:cs="仿宋"/>
                <w:b w:val="0"/>
                <w:bCs w:val="0"/>
                <w:i w:val="0"/>
                <w:iCs w:val="0"/>
                <w:color w:val="auto"/>
                <w:kern w:val="0"/>
                <w:sz w:val="21"/>
                <w:szCs w:val="21"/>
                <w:highlight w:val="none"/>
                <w:u w:val="none"/>
                <w:lang w:val="en-US" w:eastAsia="zh-CN" w:bidi="ar"/>
              </w:rPr>
              <w:t>年末生产总值</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highlight w:val="none"/>
                <w:u w:val="none"/>
                <w:lang w:val="en-US" w:eastAsia="zh-CN" w:bidi="ar"/>
              </w:rPr>
            </w:pPr>
            <w:r>
              <w:rPr>
                <w:rFonts w:hint="eastAsia" w:ascii="仿宋" w:hAnsi="仿宋" w:eastAsia="仿宋" w:cs="仿宋"/>
                <w:b w:val="0"/>
                <w:bCs w:val="0"/>
                <w:i w:val="0"/>
                <w:iCs w:val="0"/>
                <w:color w:val="auto"/>
                <w:kern w:val="0"/>
                <w:sz w:val="21"/>
                <w:szCs w:val="21"/>
                <w:highlight w:val="none"/>
                <w:u w:val="none"/>
                <w:lang w:val="en-US" w:eastAsia="zh-CN" w:bidi="ar"/>
              </w:rPr>
              <w:t>万元</w:t>
            </w:r>
          </w:p>
        </w:tc>
        <w:tc>
          <w:tcPr>
            <w:tcW w:w="2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highlight w:val="none"/>
                <w:u w:val="none"/>
                <w:lang w:val="en-US" w:eastAsia="zh-CN" w:bidi="ar"/>
              </w:rPr>
            </w:pPr>
            <w:r>
              <w:rPr>
                <w:rFonts w:hint="default" w:ascii="仿宋" w:hAnsi="仿宋" w:eastAsia="仿宋" w:cs="仿宋"/>
                <w:b w:val="0"/>
                <w:bCs w:val="0"/>
                <w:i w:val="0"/>
                <w:iCs w:val="0"/>
                <w:color w:val="auto"/>
                <w:kern w:val="0"/>
                <w:sz w:val="21"/>
                <w:szCs w:val="21"/>
                <w:highlight w:val="none"/>
                <w:u w:val="none"/>
                <w:lang w:val="en-US" w:eastAsia="zh-CN" w:bidi="ar"/>
              </w:rPr>
              <w:t>3238568.48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highlight w:val="none"/>
                <w:u w:val="none"/>
                <w:lang w:val="en-US" w:eastAsia="zh-CN" w:bidi="ar"/>
              </w:rPr>
            </w:pPr>
            <w:r>
              <w:rPr>
                <w:rFonts w:hint="default" w:ascii="仿宋" w:hAnsi="仿宋" w:eastAsia="仿宋" w:cs="仿宋"/>
                <w:b w:val="0"/>
                <w:bCs w:val="0"/>
                <w:i w:val="0"/>
                <w:iCs w:val="0"/>
                <w:color w:val="auto"/>
                <w:kern w:val="0"/>
                <w:sz w:val="21"/>
                <w:szCs w:val="21"/>
                <w:highlight w:val="none"/>
                <w:u w:val="none"/>
                <w:lang w:val="en-US" w:eastAsia="zh-CN" w:bidi="ar"/>
              </w:rPr>
              <w:t>2025</w:t>
            </w:r>
            <w:r>
              <w:rPr>
                <w:rFonts w:hint="eastAsia" w:ascii="仿宋" w:hAnsi="仿宋" w:eastAsia="仿宋" w:cs="仿宋"/>
                <w:b w:val="0"/>
                <w:bCs w:val="0"/>
                <w:i w:val="0"/>
                <w:iCs w:val="0"/>
                <w:color w:val="auto"/>
                <w:kern w:val="0"/>
                <w:sz w:val="21"/>
                <w:szCs w:val="21"/>
                <w:highlight w:val="none"/>
                <w:u w:val="none"/>
                <w:lang w:val="en-US" w:eastAsia="zh-CN" w:bidi="ar"/>
              </w:rPr>
              <w:t>年末产值能耗</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highlight w:val="none"/>
                <w:u w:val="none"/>
                <w:lang w:val="en-US" w:eastAsia="zh-CN" w:bidi="ar"/>
              </w:rPr>
            </w:pPr>
            <w:r>
              <w:rPr>
                <w:rFonts w:hint="eastAsia" w:ascii="仿宋" w:hAnsi="仿宋" w:eastAsia="仿宋" w:cs="仿宋"/>
                <w:b w:val="0"/>
                <w:bCs w:val="0"/>
                <w:i w:val="0"/>
                <w:iCs w:val="0"/>
                <w:color w:val="auto"/>
                <w:kern w:val="0"/>
                <w:sz w:val="21"/>
                <w:szCs w:val="21"/>
                <w:highlight w:val="none"/>
                <w:u w:val="none"/>
                <w:lang w:val="en-US" w:eastAsia="zh-CN" w:bidi="ar"/>
              </w:rPr>
              <w:t>吨标煤</w:t>
            </w:r>
            <w:r>
              <w:rPr>
                <w:rFonts w:hint="default" w:ascii="仿宋" w:hAnsi="仿宋" w:eastAsia="仿宋" w:cs="仿宋"/>
                <w:b w:val="0"/>
                <w:bCs w:val="0"/>
                <w:i w:val="0"/>
                <w:iCs w:val="0"/>
                <w:color w:val="auto"/>
                <w:kern w:val="0"/>
                <w:sz w:val="21"/>
                <w:szCs w:val="21"/>
                <w:highlight w:val="none"/>
                <w:u w:val="none"/>
                <w:lang w:val="en-US" w:eastAsia="zh-CN" w:bidi="ar"/>
              </w:rPr>
              <w:t>/</w:t>
            </w:r>
            <w:r>
              <w:rPr>
                <w:rFonts w:hint="eastAsia" w:ascii="仿宋" w:hAnsi="仿宋" w:eastAsia="仿宋" w:cs="仿宋"/>
                <w:b w:val="0"/>
                <w:bCs w:val="0"/>
                <w:i w:val="0"/>
                <w:iCs w:val="0"/>
                <w:color w:val="auto"/>
                <w:kern w:val="0"/>
                <w:sz w:val="21"/>
                <w:szCs w:val="21"/>
                <w:highlight w:val="none"/>
                <w:u w:val="none"/>
                <w:lang w:val="en-US" w:eastAsia="zh-CN" w:bidi="ar"/>
              </w:rPr>
              <w:t>万元</w:t>
            </w:r>
          </w:p>
        </w:tc>
        <w:tc>
          <w:tcPr>
            <w:tcW w:w="2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highlight w:val="none"/>
                <w:u w:val="none"/>
                <w:lang w:val="en-US" w:eastAsia="zh-CN" w:bidi="ar"/>
              </w:rPr>
            </w:pPr>
            <w:r>
              <w:rPr>
                <w:rFonts w:hint="default" w:ascii="仿宋" w:hAnsi="仿宋" w:eastAsia="仿宋" w:cs="仿宋"/>
                <w:b w:val="0"/>
                <w:bCs w:val="0"/>
                <w:i w:val="0"/>
                <w:iCs w:val="0"/>
                <w:color w:val="auto"/>
                <w:kern w:val="0"/>
                <w:sz w:val="21"/>
                <w:szCs w:val="21"/>
                <w:highlight w:val="none"/>
                <w:u w:val="none"/>
                <w:lang w:val="en-US" w:eastAsia="zh-CN" w:bidi="ar"/>
              </w:rPr>
              <w:t>1.3791</w:t>
            </w:r>
          </w:p>
        </w:tc>
      </w:tr>
    </w:tbl>
    <w:p>
      <w:pPr>
        <w:bidi w:val="0"/>
        <w:rPr>
          <w:rFonts w:hint="eastAsia"/>
          <w:color w:val="auto"/>
          <w:sz w:val="21"/>
          <w:szCs w:val="21"/>
          <w:highlight w:val="none"/>
          <w:lang w:val="en-US" w:eastAsia="zh-CN"/>
        </w:rPr>
      </w:pPr>
      <w:r>
        <w:rPr>
          <w:rFonts w:hint="eastAsia"/>
          <w:color w:val="auto"/>
          <w:sz w:val="21"/>
          <w:szCs w:val="21"/>
          <w:highlight w:val="none"/>
          <w:lang w:val="en-US" w:eastAsia="zh-CN"/>
        </w:rPr>
        <w:t>注：1、2020年开发区规上企业能耗为1354198.46tce，根据开发区情况，按经验值法，2020年非规上企业能耗占规上企业3%、附属能耗占规上企业3%、居民用能占规上企业5%、服务业用能占规上企业5%估算，则通过测算2020年开发区全社会能源消费总量为148.96万tce。</w:t>
      </w:r>
    </w:p>
    <w:p>
      <w:pPr>
        <w:bidi w:val="0"/>
        <w:rPr>
          <w:rFonts w:hint="default"/>
          <w:color w:val="auto"/>
          <w:sz w:val="21"/>
          <w:szCs w:val="21"/>
          <w:highlight w:val="none"/>
          <w:lang w:val="en-US" w:eastAsia="zh-CN"/>
        </w:rPr>
      </w:pPr>
      <w:r>
        <w:rPr>
          <w:rFonts w:hint="eastAsia"/>
          <w:color w:val="auto"/>
          <w:sz w:val="21"/>
          <w:szCs w:val="21"/>
          <w:highlight w:val="none"/>
          <w:lang w:val="en-US" w:eastAsia="zh-CN"/>
        </w:rPr>
        <w:t>2、</w:t>
      </w:r>
      <w:r>
        <w:rPr>
          <w:rFonts w:hint="default"/>
          <w:color w:val="auto"/>
          <w:sz w:val="21"/>
          <w:szCs w:val="21"/>
          <w:highlight w:val="none"/>
          <w:lang w:val="en-US" w:eastAsia="zh-CN"/>
        </w:rPr>
        <w:t>2020年末产值总值</w:t>
      </w:r>
      <w:r>
        <w:rPr>
          <w:rFonts w:hint="eastAsia"/>
          <w:color w:val="auto"/>
          <w:sz w:val="21"/>
          <w:szCs w:val="21"/>
          <w:highlight w:val="none"/>
          <w:lang w:val="en-US" w:eastAsia="zh-CN"/>
        </w:rPr>
        <w:t>包括规上企业工业增加值297919.66万元、非规上企业增加值26258.42万元、服务业增加值179697.25万元。</w:t>
      </w:r>
    </w:p>
    <w:p>
      <w:pPr>
        <w:bidi w:val="0"/>
        <w:rPr>
          <w:rFonts w:hint="eastAsia"/>
          <w:color w:val="auto"/>
          <w:highlight w:val="none"/>
          <w:lang w:val="en-US" w:eastAsia="zh-CN"/>
        </w:rPr>
      </w:pPr>
      <w:r>
        <w:rPr>
          <w:rFonts w:hint="eastAsia"/>
          <w:color w:val="auto"/>
          <w:highlight w:val="none"/>
          <w:lang w:val="en-US" w:eastAsia="zh-CN"/>
        </w:rPr>
        <w:t>开发区2020年、2025年主要经济技术指标对比见下表：</w:t>
      </w:r>
    </w:p>
    <w:p>
      <w:pPr>
        <w:bidi w:val="0"/>
        <w:jc w:val="center"/>
        <w:rPr>
          <w:rFonts w:hint="eastAsia"/>
          <w:color w:val="auto"/>
          <w:lang w:val="en-US" w:eastAsia="zh-CN"/>
        </w:rPr>
      </w:pPr>
      <w:r>
        <w:rPr>
          <w:rFonts w:hint="eastAsia"/>
          <w:color w:val="auto"/>
          <w:lang w:val="en-US" w:eastAsia="zh-CN"/>
        </w:rPr>
        <w:t>表3-48 开发区各年度主要经济技术指标表（规上工业企业）</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708"/>
        <w:gridCol w:w="1716"/>
        <w:gridCol w:w="2047"/>
        <w:gridCol w:w="20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指标名称</w:t>
            </w:r>
          </w:p>
        </w:tc>
        <w:tc>
          <w:tcPr>
            <w:tcW w:w="10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单位</w:t>
            </w:r>
          </w:p>
        </w:tc>
        <w:tc>
          <w:tcPr>
            <w:tcW w:w="1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u w:val="none"/>
                <w:lang w:val="en-US" w:eastAsia="zh-CN" w:bidi="ar"/>
              </w:rPr>
            </w:pPr>
            <w:r>
              <w:rPr>
                <w:rFonts w:hint="default" w:ascii="仿宋" w:hAnsi="仿宋" w:eastAsia="仿宋" w:cs="仿宋"/>
                <w:b w:val="0"/>
                <w:bCs w:val="0"/>
                <w:i w:val="0"/>
                <w:iCs w:val="0"/>
                <w:color w:val="auto"/>
                <w:kern w:val="0"/>
                <w:sz w:val="21"/>
                <w:szCs w:val="21"/>
                <w:u w:val="none"/>
                <w:lang w:val="en-US" w:eastAsia="zh-CN" w:bidi="ar"/>
              </w:rPr>
              <w:t>2020</w:t>
            </w:r>
            <w:r>
              <w:rPr>
                <w:rFonts w:hint="eastAsia" w:ascii="仿宋" w:hAnsi="仿宋" w:eastAsia="仿宋" w:cs="仿宋"/>
                <w:b w:val="0"/>
                <w:bCs w:val="0"/>
                <w:i w:val="0"/>
                <w:iCs w:val="0"/>
                <w:color w:val="auto"/>
                <w:kern w:val="0"/>
                <w:sz w:val="21"/>
                <w:szCs w:val="21"/>
                <w:u w:val="none"/>
                <w:lang w:val="en-US" w:eastAsia="zh-CN" w:bidi="ar"/>
              </w:rPr>
              <w:t>年</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u w:val="none"/>
                <w:lang w:val="en-US" w:eastAsia="zh-CN" w:bidi="ar"/>
              </w:rPr>
            </w:pPr>
            <w:r>
              <w:rPr>
                <w:rFonts w:hint="default" w:ascii="仿宋" w:hAnsi="仿宋" w:eastAsia="仿宋" w:cs="仿宋"/>
                <w:b w:val="0"/>
                <w:bCs w:val="0"/>
                <w:i w:val="0"/>
                <w:iCs w:val="0"/>
                <w:color w:val="auto"/>
                <w:kern w:val="0"/>
                <w:sz w:val="21"/>
                <w:szCs w:val="21"/>
                <w:u w:val="none"/>
                <w:lang w:val="en-US" w:eastAsia="zh-CN" w:bidi="ar"/>
              </w:rPr>
              <w:t>2025</w:t>
            </w:r>
            <w:r>
              <w:rPr>
                <w:rFonts w:hint="eastAsia" w:ascii="仿宋" w:hAnsi="仿宋" w:eastAsia="仿宋" w:cs="仿宋"/>
                <w:b w:val="0"/>
                <w:bCs w:val="0"/>
                <w:i w:val="0"/>
                <w:iCs w:val="0"/>
                <w:color w:val="auto"/>
                <w:kern w:val="0"/>
                <w:sz w:val="21"/>
                <w:szCs w:val="21"/>
                <w:u w:val="none"/>
                <w:lang w:val="en-US" w:eastAsia="zh-CN" w:bidi="ar"/>
              </w:rPr>
              <w:t>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工业增加值</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万元</w:t>
            </w:r>
          </w:p>
        </w:tc>
        <w:tc>
          <w:tcPr>
            <w:tcW w:w="20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u w:val="none"/>
                <w:lang w:val="en-US" w:eastAsia="zh-CN" w:bidi="ar"/>
              </w:rPr>
            </w:pPr>
            <w:r>
              <w:rPr>
                <w:rFonts w:hint="default" w:ascii="仿宋" w:hAnsi="仿宋" w:eastAsia="仿宋" w:cs="仿宋"/>
                <w:b w:val="0"/>
                <w:bCs w:val="0"/>
                <w:i w:val="0"/>
                <w:iCs w:val="0"/>
                <w:color w:val="auto"/>
                <w:kern w:val="0"/>
                <w:sz w:val="21"/>
                <w:szCs w:val="21"/>
                <w:u w:val="none"/>
                <w:lang w:val="en-US" w:eastAsia="zh-CN" w:bidi="ar"/>
              </w:rPr>
              <w:t>297919.66</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u w:val="none"/>
                <w:lang w:val="en-US" w:eastAsia="zh-CN" w:bidi="ar"/>
              </w:rPr>
            </w:pPr>
            <w:r>
              <w:rPr>
                <w:rFonts w:hint="default" w:ascii="仿宋" w:hAnsi="仿宋" w:eastAsia="仿宋" w:cs="仿宋"/>
                <w:b w:val="0"/>
                <w:bCs w:val="0"/>
                <w:i w:val="0"/>
                <w:iCs w:val="0"/>
                <w:color w:val="auto"/>
                <w:kern w:val="0"/>
                <w:sz w:val="21"/>
                <w:szCs w:val="21"/>
                <w:u w:val="none"/>
                <w:lang w:val="en-US" w:eastAsia="zh-CN" w:bidi="ar"/>
              </w:rPr>
              <w:t>2506756.31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能耗总量</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u w:val="none"/>
                <w:lang w:val="en-US" w:eastAsia="zh-CN" w:bidi="ar"/>
              </w:rPr>
            </w:pPr>
            <w:r>
              <w:rPr>
                <w:rFonts w:hint="default" w:ascii="仿宋" w:hAnsi="仿宋" w:eastAsia="仿宋" w:cs="仿宋"/>
                <w:b w:val="0"/>
                <w:bCs w:val="0"/>
                <w:i w:val="0"/>
                <w:iCs w:val="0"/>
                <w:color w:val="auto"/>
                <w:kern w:val="0"/>
                <w:sz w:val="21"/>
                <w:szCs w:val="21"/>
                <w:u w:val="none"/>
                <w:lang w:val="en-US" w:eastAsia="zh-CN" w:bidi="ar"/>
              </w:rPr>
              <w:t>tce</w:t>
            </w:r>
          </w:p>
        </w:tc>
        <w:tc>
          <w:tcPr>
            <w:tcW w:w="20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u w:val="none"/>
                <w:lang w:val="en-US" w:eastAsia="zh-CN" w:bidi="ar"/>
              </w:rPr>
            </w:pPr>
            <w:r>
              <w:rPr>
                <w:rFonts w:hint="default" w:ascii="仿宋" w:hAnsi="仿宋" w:eastAsia="仿宋" w:cs="仿宋"/>
                <w:b w:val="0"/>
                <w:bCs w:val="0"/>
                <w:i w:val="0"/>
                <w:iCs w:val="0"/>
                <w:color w:val="auto"/>
                <w:kern w:val="0"/>
                <w:sz w:val="21"/>
                <w:szCs w:val="21"/>
                <w:u w:val="none"/>
                <w:lang w:val="en-US" w:eastAsia="zh-CN" w:bidi="ar"/>
              </w:rPr>
              <w:t>1354198.46</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u w:val="none"/>
                <w:lang w:val="en-US" w:eastAsia="zh-CN" w:bidi="ar"/>
              </w:rPr>
            </w:pPr>
            <w:r>
              <w:rPr>
                <w:rFonts w:hint="default" w:ascii="仿宋" w:hAnsi="仿宋" w:eastAsia="仿宋" w:cs="仿宋"/>
                <w:b w:val="0"/>
                <w:bCs w:val="0"/>
                <w:i w:val="0"/>
                <w:iCs w:val="0"/>
                <w:color w:val="auto"/>
                <w:kern w:val="0"/>
                <w:sz w:val="21"/>
                <w:szCs w:val="21"/>
                <w:u w:val="none"/>
                <w:lang w:val="en-US" w:eastAsia="zh-CN" w:bidi="ar"/>
              </w:rPr>
              <w:t>3849904.81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单位增加值能耗</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u w:val="none"/>
                <w:lang w:val="en-US" w:eastAsia="zh-CN" w:bidi="ar"/>
              </w:rPr>
            </w:pPr>
            <w:r>
              <w:rPr>
                <w:rFonts w:hint="default" w:ascii="仿宋" w:hAnsi="仿宋" w:eastAsia="仿宋" w:cs="仿宋"/>
                <w:b w:val="0"/>
                <w:bCs w:val="0"/>
                <w:i w:val="0"/>
                <w:iCs w:val="0"/>
                <w:color w:val="auto"/>
                <w:kern w:val="0"/>
                <w:sz w:val="21"/>
                <w:szCs w:val="21"/>
                <w:u w:val="none"/>
                <w:lang w:val="en-US" w:eastAsia="zh-CN" w:bidi="ar"/>
              </w:rPr>
              <w:t>tce/</w:t>
            </w:r>
            <w:r>
              <w:rPr>
                <w:rFonts w:hint="eastAsia" w:ascii="仿宋" w:hAnsi="仿宋" w:eastAsia="仿宋" w:cs="仿宋"/>
                <w:b w:val="0"/>
                <w:bCs w:val="0"/>
                <w:i w:val="0"/>
                <w:iCs w:val="0"/>
                <w:color w:val="auto"/>
                <w:kern w:val="0"/>
                <w:sz w:val="21"/>
                <w:szCs w:val="21"/>
                <w:u w:val="none"/>
                <w:lang w:val="en-US" w:eastAsia="zh-CN" w:bidi="ar"/>
              </w:rPr>
              <w:t>万元</w:t>
            </w:r>
          </w:p>
        </w:tc>
        <w:tc>
          <w:tcPr>
            <w:tcW w:w="20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u w:val="none"/>
                <w:lang w:val="en-US" w:eastAsia="zh-CN" w:bidi="ar"/>
              </w:rPr>
            </w:pPr>
            <w:r>
              <w:rPr>
                <w:rFonts w:hint="default" w:ascii="仿宋" w:hAnsi="仿宋" w:eastAsia="仿宋" w:cs="仿宋"/>
                <w:b w:val="0"/>
                <w:bCs w:val="0"/>
                <w:i w:val="0"/>
                <w:iCs w:val="0"/>
                <w:color w:val="auto"/>
                <w:kern w:val="0"/>
                <w:sz w:val="21"/>
                <w:szCs w:val="21"/>
                <w:u w:val="none"/>
                <w:lang w:val="en-US" w:eastAsia="zh-CN" w:bidi="ar"/>
              </w:rPr>
              <w:t>4.5455</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仿宋" w:hAnsi="仿宋" w:eastAsia="仿宋" w:cs="仿宋"/>
                <w:b w:val="0"/>
                <w:bCs w:val="0"/>
                <w:i w:val="0"/>
                <w:iCs w:val="0"/>
                <w:color w:val="auto"/>
                <w:kern w:val="0"/>
                <w:sz w:val="21"/>
                <w:szCs w:val="21"/>
                <w:u w:val="none"/>
                <w:lang w:val="en-US" w:eastAsia="zh-CN" w:bidi="ar"/>
              </w:rPr>
            </w:pPr>
            <w:r>
              <w:rPr>
                <w:rFonts w:hint="default" w:ascii="仿宋" w:hAnsi="仿宋" w:eastAsia="仿宋" w:cs="仿宋"/>
                <w:b w:val="0"/>
                <w:bCs w:val="0"/>
                <w:i w:val="0"/>
                <w:iCs w:val="0"/>
                <w:color w:val="auto"/>
                <w:kern w:val="0"/>
                <w:sz w:val="21"/>
                <w:szCs w:val="21"/>
                <w:u w:val="none"/>
                <w:lang w:val="en-US" w:eastAsia="zh-CN" w:bidi="ar"/>
              </w:rPr>
              <w:t>1.5358</w:t>
            </w:r>
          </w:p>
        </w:tc>
      </w:tr>
    </w:tbl>
    <w:p>
      <w:pPr>
        <w:bidi w:val="0"/>
        <w:rPr>
          <w:rFonts w:hint="eastAsia"/>
          <w:color w:val="auto"/>
          <w:lang w:val="en-US" w:eastAsia="zh-CN"/>
        </w:rPr>
      </w:pPr>
    </w:p>
    <w:p>
      <w:pPr>
        <w:pStyle w:val="3"/>
        <w:bidi w:val="0"/>
        <w:rPr>
          <w:rFonts w:hint="eastAsia"/>
          <w:color w:val="auto"/>
          <w:lang w:val="en-US" w:eastAsia="zh-CN"/>
        </w:rPr>
      </w:pPr>
      <w:bookmarkStart w:id="34" w:name="_Toc29435"/>
      <w:r>
        <w:rPr>
          <w:rFonts w:hint="eastAsia"/>
          <w:color w:val="auto"/>
          <w:lang w:val="en-US" w:eastAsia="zh-CN"/>
        </w:rPr>
        <w:t>3.5 区域能源消费影响分析评价</w:t>
      </w:r>
      <w:bookmarkEnd w:id="34"/>
    </w:p>
    <w:p>
      <w:pPr>
        <w:rPr>
          <w:rFonts w:hint="default"/>
          <w:color w:val="auto"/>
          <w:lang w:val="en-US" w:eastAsia="zh-CN"/>
        </w:rPr>
      </w:pPr>
      <w:r>
        <w:rPr>
          <w:rFonts w:hint="eastAsia"/>
          <w:color w:val="auto"/>
          <w:lang w:val="en-US" w:eastAsia="zh-CN"/>
        </w:rPr>
        <w:t>贵州开阳经济开发区（开阳县工业园区）</w:t>
      </w:r>
      <w:r>
        <w:rPr>
          <w:rFonts w:hint="default"/>
          <w:color w:val="auto"/>
          <w:lang w:val="en-US" w:eastAsia="zh-CN"/>
        </w:rPr>
        <w:t>综合能源消费量对于贵阳市</w:t>
      </w:r>
      <w:r>
        <w:rPr>
          <w:rFonts w:hint="eastAsia"/>
          <w:color w:val="auto"/>
          <w:lang w:val="en-US" w:eastAsia="zh-CN"/>
        </w:rPr>
        <w:t>、开阳县“</w:t>
      </w:r>
      <w:r>
        <w:rPr>
          <w:rFonts w:hint="default"/>
          <w:color w:val="auto"/>
          <w:lang w:val="en-US" w:eastAsia="zh-CN"/>
        </w:rPr>
        <w:t>十四五</w:t>
      </w:r>
      <w:r>
        <w:rPr>
          <w:rFonts w:hint="eastAsia"/>
          <w:color w:val="auto"/>
          <w:lang w:val="en-US" w:eastAsia="zh-CN"/>
        </w:rPr>
        <w:t>”</w:t>
      </w:r>
      <w:r>
        <w:rPr>
          <w:rFonts w:hint="default"/>
          <w:color w:val="auto"/>
          <w:lang w:val="en-US" w:eastAsia="zh-CN"/>
        </w:rPr>
        <w:t>能源消耗增量及完成能耗强度下降目标的影响分析，以2020年作为基准期，</w:t>
      </w:r>
      <w:r>
        <w:rPr>
          <w:rFonts w:hint="eastAsia"/>
          <w:color w:val="auto"/>
          <w:lang w:val="en-US" w:eastAsia="zh-CN"/>
        </w:rPr>
        <w:t>“</w:t>
      </w:r>
      <w:r>
        <w:rPr>
          <w:rFonts w:hint="default"/>
          <w:color w:val="auto"/>
          <w:lang w:val="en-US" w:eastAsia="zh-CN"/>
        </w:rPr>
        <w:t>十四五</w:t>
      </w:r>
      <w:r>
        <w:rPr>
          <w:rFonts w:hint="eastAsia"/>
          <w:color w:val="auto"/>
          <w:lang w:val="en-US" w:eastAsia="zh-CN"/>
        </w:rPr>
        <w:t>”</w:t>
      </w:r>
      <w:r>
        <w:rPr>
          <w:rFonts w:hint="default"/>
          <w:color w:val="auto"/>
          <w:lang w:val="en-US" w:eastAsia="zh-CN"/>
        </w:rPr>
        <w:t>规划期数据作为测算的依据。</w:t>
      </w:r>
    </w:p>
    <w:p>
      <w:pPr>
        <w:bidi w:val="0"/>
        <w:rPr>
          <w:rFonts w:hint="eastAsia"/>
          <w:color w:val="auto"/>
          <w:lang w:val="en-US" w:eastAsia="zh-CN"/>
        </w:rPr>
      </w:pPr>
      <w:r>
        <w:rPr>
          <w:rFonts w:hint="eastAsia"/>
          <w:color w:val="auto"/>
          <w:lang w:val="en-US" w:eastAsia="zh-CN"/>
        </w:rPr>
        <w:t>根据《省发展改革委关于进一步加强“十四五”时期用能管理的通知》（黔发改环资[2022]385号），贵阳市“</w:t>
      </w:r>
      <w:r>
        <w:rPr>
          <w:rFonts w:hint="default"/>
          <w:color w:val="auto"/>
          <w:lang w:val="en-US" w:eastAsia="zh-CN"/>
        </w:rPr>
        <w:t>十四五</w:t>
      </w:r>
      <w:r>
        <w:rPr>
          <w:rFonts w:hint="eastAsia"/>
          <w:color w:val="auto"/>
          <w:lang w:val="en-US" w:eastAsia="zh-CN"/>
        </w:rPr>
        <w:t>”</w:t>
      </w:r>
      <w:r>
        <w:rPr>
          <w:rFonts w:hint="default"/>
          <w:color w:val="auto"/>
          <w:lang w:val="en-US" w:eastAsia="zh-CN"/>
        </w:rPr>
        <w:t>能源消耗增量</w:t>
      </w:r>
      <w:r>
        <w:rPr>
          <w:rFonts w:hint="eastAsia"/>
          <w:color w:val="auto"/>
          <w:lang w:val="en-US" w:eastAsia="zh-CN"/>
        </w:rPr>
        <w:t>为357万吨标准煤，贵阳市“十四五”单位地区生产总值能耗降低率为13%。</w:t>
      </w:r>
    </w:p>
    <w:p>
      <w:pPr>
        <w:rPr>
          <w:rFonts w:hint="default"/>
          <w:color w:val="auto"/>
          <w:lang w:val="en-US" w:eastAsia="zh-CN"/>
        </w:rPr>
      </w:pPr>
      <w:r>
        <w:rPr>
          <w:rFonts w:hint="eastAsia"/>
          <w:color w:val="auto"/>
          <w:lang w:val="en-US" w:eastAsia="zh-CN"/>
        </w:rPr>
        <w:t>根据测算，贵州开阳经济开发区（开阳县工业园区）2025年末能耗总量为446.65万吨标准煤，“十四五”期间能源消费增量为289.56万吨标准煤（446.65万吨标准煤-157.09万吨标准煤）。根据《国家发展改革委关于印发&lt;完善能源消费强度和总量双控制度方案&gt;的通知》（发改环资〔2021〕1310号），对能耗强度降低达到国家下达激励目标的省（自治区、直辖市），其能源消费总量在五年规划当期能耗双控考核中免予考核。也即是说，如果贵阳市、开阳县分别完成“十四五”能耗强度下降13%、15%的目标，能耗增量目标可免于考核。</w:t>
      </w:r>
    </w:p>
    <w:p>
      <w:pPr>
        <w:pStyle w:val="4"/>
        <w:bidi w:val="0"/>
        <w:rPr>
          <w:rFonts w:hint="eastAsia"/>
          <w:color w:val="auto"/>
          <w:lang w:val="en-US" w:eastAsia="zh-CN"/>
        </w:rPr>
      </w:pPr>
      <w:bookmarkStart w:id="35" w:name="_Toc11550"/>
      <w:r>
        <w:rPr>
          <w:rFonts w:hint="eastAsia"/>
          <w:color w:val="auto"/>
          <w:lang w:val="en-US" w:eastAsia="zh-CN"/>
        </w:rPr>
        <w:t>3.5.1 区域能源消费对开阳县完成能耗强度下降目标的影响</w:t>
      </w:r>
      <w:bookmarkEnd w:id="35"/>
    </w:p>
    <w:p>
      <w:pPr>
        <w:rPr>
          <w:rFonts w:hint="eastAsia"/>
          <w:color w:val="auto"/>
          <w:lang w:val="en-US" w:eastAsia="zh-CN"/>
        </w:rPr>
      </w:pPr>
      <w:r>
        <w:rPr>
          <w:rFonts w:hint="eastAsia"/>
          <w:color w:val="auto"/>
          <w:lang w:val="en-US" w:eastAsia="zh-CN"/>
        </w:rPr>
        <w:t>根据《贵阳市统计年鉴（2021年）》，2020年开阳县地区生产总值2370368万元，能源消费总量404.98万吨标准煤，单位地区生产总值能耗1.7085吨标准煤/万元。根据贵阳市各区（市、县）“十四五”能耗强度目标分解表，开阳县“十四五”能耗强度下降目标为15%，则开阳县“十四五”期末单位地区生产总值能耗为1.4522吨标准煤/万元。</w:t>
      </w:r>
    </w:p>
    <w:p>
      <w:pPr>
        <w:rPr>
          <w:rFonts w:hint="default"/>
          <w:color w:val="auto"/>
          <w:lang w:val="en-US" w:eastAsia="zh-CN"/>
        </w:rPr>
      </w:pPr>
      <w:r>
        <w:rPr>
          <w:rFonts w:hint="eastAsia"/>
          <w:color w:val="auto"/>
          <w:lang w:val="en-US" w:eastAsia="zh-CN"/>
        </w:rPr>
        <w:t>根据报告测算，贵州开阳经济开发区（开阳县工业园区）2025年末单位地区生产总值能耗1.3791吨标准煤/万元，低于开阳县在完成节能目标的情况下，需达到的单位地区生产总值能耗1.4522吨标准煤/万元，因此，贵州开阳经济开发区（开阳县工业园区）的发展有助于开阳县完成“十四五”能耗强度下降目标。</w:t>
      </w:r>
    </w:p>
    <w:p>
      <w:pPr>
        <w:pStyle w:val="4"/>
        <w:bidi w:val="0"/>
        <w:rPr>
          <w:rFonts w:hint="default"/>
          <w:color w:val="auto"/>
          <w:lang w:val="en-US" w:eastAsia="zh-CN"/>
        </w:rPr>
      </w:pPr>
      <w:bookmarkStart w:id="36" w:name="_Toc1618"/>
      <w:r>
        <w:rPr>
          <w:rFonts w:hint="eastAsia"/>
          <w:color w:val="auto"/>
          <w:lang w:val="en-US" w:eastAsia="zh-CN"/>
        </w:rPr>
        <w:t>3.5.2 区域能源消费对贵阳市完成能耗强度下降目标的影响</w:t>
      </w:r>
      <w:bookmarkEnd w:id="36"/>
    </w:p>
    <w:p>
      <w:pPr>
        <w:rPr>
          <w:rFonts w:hint="eastAsia"/>
          <w:color w:val="auto"/>
          <w:lang w:val="en-US" w:eastAsia="zh-CN"/>
        </w:rPr>
      </w:pPr>
      <w:r>
        <w:rPr>
          <w:rFonts w:hint="eastAsia"/>
          <w:color w:val="auto"/>
          <w:lang w:val="en-US" w:eastAsia="zh-CN"/>
        </w:rPr>
        <w:t>根据《贵阳市统计年鉴（2021年）》、贵阳市各区（市、县）“十四五”能耗强度目标分解表及贵阳市各区（市、县）“十四五”生产总值年均增速，预测2025年的各区（市、县）生产总值和能源消费总量，通过预测各区（市、县）汇总测算贵阳市2025年单位地区生产总值能耗。开阳县2025年生产总值和能源消费总量测算由贵州开阳经济开发区（开阳县工业园区）及其他两部分组成。</w:t>
      </w:r>
    </w:p>
    <w:p>
      <w:pPr>
        <w:rPr>
          <w:rFonts w:hint="default"/>
          <w:color w:val="auto"/>
          <w:lang w:val="en-US" w:eastAsia="zh-CN"/>
        </w:rPr>
      </w:pPr>
      <w:r>
        <w:rPr>
          <w:rFonts w:hint="eastAsia"/>
          <w:color w:val="auto"/>
          <w:lang w:val="en-US" w:eastAsia="zh-CN"/>
        </w:rPr>
        <w:t>根据《贵阳市统计年鉴（2021年）》、《开阳县国民经济和社会发展第十四个五年规划和二〇三五年远景目标纲要》及贵阳市各区（市、县）“十四五”能耗强度目标分解表，开阳县其他区域按开阳县“十四五”年均经济增速11%、“十四五”能耗降低目标15%计算，则其他区域2025年单位地区生产总值能耗按开阳县2020年单位地区生产总值能耗1.7085吨标煤/万元下降15%测算，测算得其他区域2025年单位地区生产总值能耗1.4522吨标煤/万元；其他区域2025年生产总值原则采用《开阳县国民经济和社会发展第十四个五年规划和二〇三五年远景目标纲要》按规划情形发展，至2025年，开阳县地区生产总值将达到399.42万元，原则满足规划发展目标，贵州开阳经济开发区（开阳县工业园区）2025年为323.86亿元，则其他区域生产总值为75.56亿元（399.42亿元-323.86亿元），能源消费总量为109.73万吨标准煤（75.56亿元×1.4522tce/万元=109.73万吨标准煤）。</w:t>
      </w:r>
    </w:p>
    <w:p>
      <w:pPr>
        <w:rPr>
          <w:rFonts w:hint="eastAsia"/>
          <w:color w:val="auto"/>
          <w:lang w:val="en-US" w:eastAsia="zh-CN"/>
        </w:rPr>
      </w:pPr>
      <w:r>
        <w:rPr>
          <w:rFonts w:hint="eastAsia"/>
          <w:color w:val="auto"/>
          <w:lang w:val="en-US" w:eastAsia="zh-CN"/>
        </w:rPr>
        <w:t>贵州开阳经济开发区（开阳县工业园区）通过报告测算，2025年生产总值为323.86亿元，能源消费总量为446.65万吨标准煤，单位地区生产总值能耗1.3791吨标准煤/万元。</w:t>
      </w:r>
    </w:p>
    <w:p>
      <w:pPr>
        <w:rPr>
          <w:rFonts w:hint="eastAsia"/>
          <w:color w:val="auto"/>
          <w:lang w:val="en-US" w:eastAsia="zh-CN"/>
        </w:rPr>
      </w:pPr>
      <w:r>
        <w:rPr>
          <w:rFonts w:hint="eastAsia"/>
          <w:color w:val="auto"/>
          <w:lang w:val="en-US" w:eastAsia="zh-CN"/>
        </w:rPr>
        <w:t>则至2025年开阳县地区生产总值将达到399.42万元，能源消费总量为556.38万吨标准煤。</w:t>
      </w:r>
    </w:p>
    <w:p>
      <w:pPr>
        <w:rPr>
          <w:rFonts w:hint="default"/>
          <w:color w:val="auto"/>
          <w:lang w:val="en-US" w:eastAsia="zh-CN"/>
        </w:rPr>
      </w:pPr>
      <w:r>
        <w:rPr>
          <w:rFonts w:hint="eastAsia"/>
          <w:color w:val="auto"/>
          <w:lang w:val="en-US" w:eastAsia="zh-CN"/>
        </w:rPr>
        <w:t>根据开阳县及贵阳市其余区（市、县）生产总值、能源消费总量汇总，至2025年贵阳市地区生产总值将达到7066亿元，能源消费总量为3215.29万吨标准煤，单位地区生产总值能耗0.455吨标准煤/万元。根据《省发展改革委关于进一步加强“十四五”时期用能管理的通知》（黔发改环资[2022]385号），贵阳市“十四五”单位地区生产总值能耗降低率为13%，则至2025年单位地区生产总值能耗应降低至0.4553吨标准煤/万元，测算2025年贵阳市单位地区生产总值能耗0.455吨标准煤/万元，低于下降目标值；因此，贵州开阳经济开发区（开阳县工业园区）的发展对贵阳市完成“十四五”能耗强度下降目标的影响较小。</w:t>
      </w:r>
    </w:p>
    <w:p>
      <w:pPr>
        <w:bidi w:val="0"/>
        <w:rPr>
          <w:rFonts w:hint="default"/>
          <w:color w:val="auto"/>
          <w:lang w:val="en-US" w:eastAsia="zh-CN"/>
        </w:rPr>
        <w:sectPr>
          <w:pgSz w:w="11906" w:h="16838"/>
          <w:pgMar w:top="1440" w:right="1800" w:bottom="1440" w:left="1800" w:header="851" w:footer="992" w:gutter="0"/>
          <w:pgNumType w:fmt="decimal"/>
          <w:cols w:space="425" w:num="1"/>
          <w:docGrid w:type="lines" w:linePitch="312" w:charSpace="0"/>
        </w:sectPr>
      </w:pPr>
    </w:p>
    <w:p>
      <w:pPr>
        <w:bidi w:val="0"/>
        <w:jc w:val="center"/>
        <w:rPr>
          <w:rFonts w:hint="default"/>
          <w:color w:val="auto"/>
          <w:lang w:val="en-US" w:eastAsia="zh-CN"/>
        </w:rPr>
      </w:pPr>
      <w:r>
        <w:rPr>
          <w:rFonts w:hint="eastAsia"/>
          <w:color w:val="auto"/>
          <w:lang w:val="en-US" w:eastAsia="zh-CN"/>
        </w:rPr>
        <w:t>表3-49 贵阳市生产总值、能源消费总量及生产总值能耗测算表</w:t>
      </w:r>
    </w:p>
    <w:tbl>
      <w:tblPr>
        <w:tblStyle w:val="11"/>
        <w:tblW w:w="0" w:type="auto"/>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6"/>
        <w:gridCol w:w="636"/>
        <w:gridCol w:w="2178"/>
        <w:gridCol w:w="1388"/>
        <w:gridCol w:w="1653"/>
        <w:gridCol w:w="1138"/>
        <w:gridCol w:w="1560"/>
        <w:gridCol w:w="1560"/>
        <w:gridCol w:w="999"/>
        <w:gridCol w:w="1195"/>
        <w:gridCol w:w="11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行政区划</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2020年</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“十四五”年均经济增速</w:t>
            </w:r>
          </w:p>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“十四五”能耗降低目标</w:t>
            </w:r>
          </w:p>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2025年（测算）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2" w:hRule="atLeast"/>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生产总值（亿元）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能源消费总量（万tce）</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生产总值能耗</w:t>
            </w:r>
          </w:p>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（tce/万元）</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生产总值</w:t>
            </w:r>
          </w:p>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（亿元）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能源消费总量</w:t>
            </w:r>
          </w:p>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（万tce）</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生产总值能耗</w:t>
            </w:r>
          </w:p>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（tce/万元）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贵阳市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4311.64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2256.33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0.5233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kern w:val="0"/>
                <w:sz w:val="21"/>
                <w:szCs w:val="21"/>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kern w:val="0"/>
                <w:sz w:val="21"/>
                <w:szCs w:val="21"/>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7066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3215.29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0.455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其中</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云岩区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860.1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198.1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0.2303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1397.84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286.56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0.205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南明区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892.25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256.37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0.2873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1398.22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357.52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0.2557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花溪区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637.14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176.1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0.2764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1098.02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270.11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0.246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乌当区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172.51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93.55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0.5423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350.01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168.91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0.4826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白云区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236.78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111.21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0.4697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398.99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163.03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0.4086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观山湖区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653.52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165.54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0.2533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1005.53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226.65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0.2254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清镇市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280.91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509.69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1.8144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452.41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697.71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1.5422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修文县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188.58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166.83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0.8847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324.99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250.14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0.7697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息烽县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152.81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173.98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1.1385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240.57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238.28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0.9905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开阳县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237.04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404.98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1.7085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399.42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556.38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1.393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其中</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贵州开阳经济开发区（开阳县工业园区）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50.39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157.09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3.1175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323.86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446.65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1.3791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75.56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109.73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1.4522</w:t>
            </w:r>
          </w:p>
        </w:tc>
      </w:tr>
    </w:tbl>
    <w:p>
      <w:pPr>
        <w:bidi w:val="0"/>
        <w:rPr>
          <w:rFonts w:hint="eastAsia"/>
          <w:color w:val="auto"/>
          <w:lang w:val="en-US" w:eastAsia="zh-CN"/>
        </w:rPr>
      </w:pPr>
    </w:p>
    <w:p>
      <w:pPr>
        <w:bidi w:val="0"/>
        <w:rPr>
          <w:rFonts w:hint="eastAsia"/>
          <w:color w:val="auto"/>
          <w:lang w:val="en-US" w:eastAsia="zh-CN"/>
        </w:rPr>
      </w:pPr>
    </w:p>
    <w:p>
      <w:pPr>
        <w:rPr>
          <w:rFonts w:hint="eastAsia"/>
          <w:color w:val="auto"/>
          <w:lang w:val="en-US" w:eastAsia="zh-CN"/>
        </w:rPr>
        <w:sectPr>
          <w:pgSz w:w="16838" w:h="11906" w:orient="landscape"/>
          <w:pgMar w:top="1800" w:right="1440" w:bottom="1800" w:left="1440" w:header="851" w:footer="992" w:gutter="0"/>
          <w:pgNumType w:fmt="decimal"/>
          <w:cols w:space="425" w:num="1"/>
          <w:docGrid w:type="lines" w:linePitch="312" w:charSpace="0"/>
        </w:sectPr>
      </w:pPr>
    </w:p>
    <w:p>
      <w:pPr>
        <w:pStyle w:val="2"/>
        <w:bidi w:val="0"/>
        <w:rPr>
          <w:rFonts w:hint="eastAsia"/>
          <w:color w:val="auto"/>
          <w:lang w:val="en-US" w:eastAsia="zh-CN"/>
        </w:rPr>
      </w:pPr>
      <w:bookmarkStart w:id="37" w:name="_Toc2766"/>
      <w:r>
        <w:rPr>
          <w:rFonts w:hint="eastAsia"/>
          <w:color w:val="auto"/>
          <w:lang w:val="en-US" w:eastAsia="zh-CN"/>
        </w:rPr>
        <w:t>第四章 区域能效指标</w:t>
      </w:r>
      <w:bookmarkEnd w:id="37"/>
    </w:p>
    <w:p>
      <w:pPr>
        <w:pStyle w:val="3"/>
        <w:bidi w:val="0"/>
        <w:rPr>
          <w:rFonts w:hint="eastAsia"/>
          <w:color w:val="auto"/>
          <w:lang w:val="en-US" w:eastAsia="zh-CN"/>
        </w:rPr>
      </w:pPr>
      <w:bookmarkStart w:id="38" w:name="_Toc6206"/>
      <w:r>
        <w:rPr>
          <w:rFonts w:hint="eastAsia"/>
          <w:color w:val="auto"/>
          <w:lang w:val="en-US" w:eastAsia="zh-CN"/>
        </w:rPr>
        <w:t>4.1 区域主要耗能企业用能分析</w:t>
      </w:r>
      <w:bookmarkEnd w:id="38"/>
    </w:p>
    <w:p>
      <w:pPr>
        <w:pStyle w:val="4"/>
        <w:bidi w:val="0"/>
        <w:rPr>
          <w:rFonts w:hint="eastAsia"/>
          <w:color w:val="auto"/>
          <w:lang w:val="en-US" w:eastAsia="zh-CN"/>
        </w:rPr>
      </w:pPr>
      <w:bookmarkStart w:id="39" w:name="_Toc32176"/>
      <w:r>
        <w:rPr>
          <w:rFonts w:hint="eastAsia"/>
          <w:color w:val="auto"/>
          <w:lang w:val="en-US" w:eastAsia="zh-CN"/>
        </w:rPr>
        <w:t>4.1.1区域耗能企业行业情况</w:t>
      </w:r>
      <w:bookmarkEnd w:id="39"/>
    </w:p>
    <w:p>
      <w:pPr>
        <w:rPr>
          <w:rFonts w:hint="eastAsia"/>
          <w:color w:val="auto"/>
          <w:lang w:val="en-US" w:eastAsia="zh-CN"/>
        </w:rPr>
      </w:pPr>
      <w:r>
        <w:rPr>
          <w:rFonts w:hint="eastAsia"/>
          <w:color w:val="auto"/>
          <w:lang w:val="en-US" w:eastAsia="zh-CN"/>
        </w:rPr>
        <w:t>根据经开区发展规划及主导产业发展方向，本次区域能评拟采用典型工艺系统评价方法，首先对开发区整个生产系统进行划分，之后分类对不同的用能系统进行分析，提出各个系统的能效标准及要求，作为区域生产项目的准入依据。</w:t>
      </w:r>
    </w:p>
    <w:p>
      <w:pPr>
        <w:rPr>
          <w:rFonts w:hint="eastAsia"/>
          <w:color w:val="auto"/>
          <w:lang w:val="en-US" w:eastAsia="zh-CN"/>
        </w:rPr>
      </w:pPr>
      <w:r>
        <w:rPr>
          <w:rFonts w:hint="eastAsia"/>
          <w:color w:val="auto"/>
          <w:lang w:val="en-US" w:eastAsia="zh-CN"/>
        </w:rPr>
        <w:t>本次划分的主要原则是将区域整个生产用能系统划分为主要生产用能系统和公辅生产用能系统两个大类。主要生产用能系统是指各类生产项目的主工艺流程及工序；公辅生产用能系统主要是指供配电、给排水等辅助生产系统，以及办公、生活等附属生产系统。开发区主要生产系统划分按磷系产业、化工（磷系化工除外）、建材、食品药品生产四大类进行划分，同时根据其生产用能性质进一步细化。开阳县为磷产业基地，磷系产业为主导产业，主要涵盖磷矿资源采选业、磷化工、磷系副产品利用产业等方面，本次典型工艺以磷矿采选、磷化工、磷系复产品利用为产业链各分析一家企业生产工艺。其他化工行业方面，主要为合成氨、水处理药剂、氧气、氮气、天然气等产品生产，对其用能情况进行分析；建材行业方面，主要涵盖水泥制造、石膏建材、商品混凝土、其他建材制品等方面，结合开发区产业发展方向，主要考虑从水泥制造、石膏建材两个方面对其用能情况进行分析；食品药品生产业方面，主要涵盖乳制品、茶叶制品、水果制品、饲料生产、熟食品加工、中成药制品等产业项目，结合开发区产业发展方向及拟入驻项目情况，主要考虑从乳制品、茶叶制品、水果制品、中成药制品生产对其用能情况进行分析。</w:t>
      </w:r>
    </w:p>
    <w:p>
      <w:pPr>
        <w:rPr>
          <w:rFonts w:hint="eastAsia"/>
          <w:color w:val="auto"/>
          <w:lang w:val="en-US" w:eastAsia="zh-CN"/>
        </w:rPr>
      </w:pPr>
      <w:r>
        <w:rPr>
          <w:rFonts w:hint="eastAsia"/>
          <w:color w:val="auto"/>
          <w:lang w:val="en-US" w:eastAsia="zh-CN"/>
        </w:rPr>
        <w:t>具体划分如图4-1、4-2所示：</w:t>
      </w:r>
    </w:p>
    <w:p>
      <w:pPr>
        <w:rPr>
          <w:rFonts w:hint="eastAsia"/>
          <w:color w:val="auto"/>
          <w:lang w:val="en-US" w:eastAsia="zh-CN"/>
        </w:rPr>
      </w:pPr>
      <w:r>
        <w:rPr>
          <w:color w:val="auto"/>
        </w:rPr>
        <w:drawing>
          <wp:inline distT="0" distB="0" distL="114300" distR="114300">
            <wp:extent cx="5321935" cy="8338185"/>
            <wp:effectExtent l="0" t="0" r="12065" b="13335"/>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21"/>
                    <a:stretch>
                      <a:fillRect/>
                    </a:stretch>
                  </pic:blipFill>
                  <pic:spPr>
                    <a:xfrm>
                      <a:off x="0" y="0"/>
                      <a:ext cx="5321935" cy="8338185"/>
                    </a:xfrm>
                    <a:prstGeom prst="rect">
                      <a:avLst/>
                    </a:prstGeom>
                    <a:noFill/>
                    <a:ln>
                      <a:noFill/>
                    </a:ln>
                  </pic:spPr>
                </pic:pic>
              </a:graphicData>
            </a:graphic>
          </wp:inline>
        </w:drawing>
      </w:r>
    </w:p>
    <w:p>
      <w:pPr>
        <w:jc w:val="center"/>
        <w:rPr>
          <w:rFonts w:hint="eastAsia"/>
          <w:color w:val="auto"/>
          <w:lang w:val="en-US" w:eastAsia="zh-CN"/>
        </w:rPr>
      </w:pPr>
      <w:r>
        <w:rPr>
          <w:rFonts w:hint="eastAsia"/>
          <w:color w:val="auto"/>
          <w:lang w:val="en-US" w:eastAsia="zh-CN"/>
        </w:rPr>
        <w:t>图4-1 园区主要生产行业概况</w:t>
      </w:r>
    </w:p>
    <w:p>
      <w:pPr>
        <w:ind w:left="0" w:leftChars="0" w:firstLine="0" w:firstLineChars="0"/>
        <w:jc w:val="center"/>
        <w:rPr>
          <w:color w:val="auto"/>
        </w:rPr>
      </w:pPr>
      <w:r>
        <w:rPr>
          <w:color w:val="auto"/>
        </w:rPr>
        <w:drawing>
          <wp:inline distT="0" distB="0" distL="114300" distR="114300">
            <wp:extent cx="4905375" cy="4019550"/>
            <wp:effectExtent l="0" t="0" r="1905" b="381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2"/>
                    <a:stretch>
                      <a:fillRect/>
                    </a:stretch>
                  </pic:blipFill>
                  <pic:spPr>
                    <a:xfrm>
                      <a:off x="0" y="0"/>
                      <a:ext cx="4905375" cy="4019550"/>
                    </a:xfrm>
                    <a:prstGeom prst="rect">
                      <a:avLst/>
                    </a:prstGeom>
                    <a:noFill/>
                    <a:ln>
                      <a:noFill/>
                    </a:ln>
                  </pic:spPr>
                </pic:pic>
              </a:graphicData>
            </a:graphic>
          </wp:inline>
        </w:drawing>
      </w:r>
    </w:p>
    <w:p>
      <w:pPr>
        <w:bidi w:val="0"/>
        <w:jc w:val="center"/>
        <w:rPr>
          <w:rFonts w:hint="eastAsia"/>
          <w:color w:val="auto"/>
          <w:lang w:val="en-US" w:eastAsia="zh-CN"/>
        </w:rPr>
      </w:pPr>
      <w:r>
        <w:rPr>
          <w:rFonts w:hint="eastAsia"/>
          <w:color w:val="auto"/>
          <w:lang w:val="en-US" w:eastAsia="zh-CN"/>
        </w:rPr>
        <w:t>图4-2 园区公共辅助、附属用能设施</w:t>
      </w:r>
    </w:p>
    <w:p>
      <w:pPr>
        <w:pStyle w:val="4"/>
        <w:bidi w:val="0"/>
        <w:rPr>
          <w:rFonts w:hint="eastAsia"/>
          <w:color w:val="auto"/>
          <w:lang w:val="en-US" w:eastAsia="zh-CN"/>
        </w:rPr>
      </w:pPr>
      <w:bookmarkStart w:id="40" w:name="_Toc18630"/>
      <w:r>
        <w:rPr>
          <w:rFonts w:hint="eastAsia"/>
          <w:color w:val="auto"/>
          <w:lang w:val="en-US" w:eastAsia="zh-CN"/>
        </w:rPr>
        <w:t>4.1.2企业主要生产用能系统分析</w:t>
      </w:r>
      <w:bookmarkEnd w:id="40"/>
    </w:p>
    <w:p>
      <w:pPr>
        <w:rPr>
          <w:rFonts w:hint="eastAsia"/>
          <w:color w:val="auto"/>
          <w:lang w:val="en-US" w:eastAsia="zh-CN"/>
        </w:rPr>
      </w:pPr>
      <w:r>
        <w:rPr>
          <w:rFonts w:hint="eastAsia"/>
          <w:color w:val="auto"/>
          <w:lang w:val="en-US" w:eastAsia="zh-CN"/>
        </w:rPr>
        <w:t>1、磷系化工产业</w:t>
      </w:r>
    </w:p>
    <w:p>
      <w:pPr>
        <w:rPr>
          <w:rFonts w:hint="eastAsia"/>
          <w:color w:val="auto"/>
          <w:lang w:val="en-US" w:eastAsia="zh-CN"/>
        </w:rPr>
      </w:pPr>
      <w:r>
        <w:rPr>
          <w:rFonts w:hint="eastAsia"/>
          <w:color w:val="auto"/>
          <w:lang w:val="en-US" w:eastAsia="zh-CN"/>
        </w:rPr>
        <w:t>（1）基本情况</w:t>
      </w:r>
    </w:p>
    <w:p>
      <w:pPr>
        <w:rPr>
          <w:rFonts w:hint="eastAsia"/>
          <w:color w:val="auto"/>
          <w:lang w:val="en-US" w:eastAsia="zh-CN"/>
        </w:rPr>
      </w:pPr>
      <w:r>
        <w:rPr>
          <w:rFonts w:hint="eastAsia"/>
          <w:color w:val="auto"/>
          <w:lang w:val="en-US" w:eastAsia="zh-CN"/>
        </w:rPr>
        <w:t>开发区磷系产业主要涵盖磷矿采选、磷化工、磷系副产品利用产业。考虑到磷系产业为园区主导产业、园区目前已初步形成磷矿资源采选、基础磷化工、精细磷化工及磷系副产品利用产业链。“十四五”期间及未来发展主要以“磷系新材料、新能源材料”产业为主链、氯碱化工、新型建材为辅链，延链发展氟材料、钛材料，培育壮大铝基新材料产业和现代物流业，构件“钛、硫、磷、铁、氟、硅、碘”共生耦合绿色循环的现代化产业体系。</w:t>
      </w:r>
    </w:p>
    <w:p>
      <w:pPr>
        <w:rPr>
          <w:rFonts w:hint="eastAsia"/>
          <w:color w:val="auto"/>
          <w:lang w:val="en-US" w:eastAsia="zh-CN"/>
        </w:rPr>
        <w:sectPr>
          <w:pgSz w:w="11906" w:h="16838"/>
          <w:pgMar w:top="1440" w:right="1800" w:bottom="1440" w:left="1800" w:header="851" w:footer="992" w:gutter="0"/>
          <w:pgNumType w:fmt="decimal"/>
          <w:cols w:space="425" w:num="1"/>
          <w:docGrid w:type="lines" w:linePitch="312" w:charSpace="0"/>
        </w:sectPr>
      </w:pPr>
    </w:p>
    <w:p>
      <w:pPr>
        <w:ind w:left="0" w:leftChars="0" w:firstLine="0" w:firstLineChars="0"/>
        <w:rPr>
          <w:rFonts w:hint="eastAsia"/>
          <w:color w:val="auto"/>
          <w:lang w:val="en-US" w:eastAsia="zh-CN"/>
        </w:rPr>
      </w:pPr>
      <w:r>
        <w:rPr>
          <w:color w:val="auto"/>
        </w:rPr>
        <w:drawing>
          <wp:inline distT="0" distB="0" distL="114300" distR="114300">
            <wp:extent cx="8902700" cy="5266055"/>
            <wp:effectExtent l="0" t="0" r="1270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3"/>
                    <a:stretch>
                      <a:fillRect/>
                    </a:stretch>
                  </pic:blipFill>
                  <pic:spPr>
                    <a:xfrm>
                      <a:off x="0" y="0"/>
                      <a:ext cx="8902700" cy="5266055"/>
                    </a:xfrm>
                    <a:prstGeom prst="rect">
                      <a:avLst/>
                    </a:prstGeom>
                    <a:noFill/>
                    <a:ln>
                      <a:noFill/>
                    </a:ln>
                  </pic:spPr>
                </pic:pic>
              </a:graphicData>
            </a:graphic>
          </wp:inline>
        </w:drawing>
      </w:r>
    </w:p>
    <w:p>
      <w:pPr>
        <w:ind w:left="0" w:leftChars="0" w:firstLine="0" w:firstLineChars="0"/>
        <w:rPr>
          <w:color w:val="auto"/>
        </w:rPr>
      </w:pPr>
      <w:r>
        <w:rPr>
          <w:color w:val="auto"/>
        </w:rPr>
        <w:drawing>
          <wp:inline distT="0" distB="0" distL="114300" distR="114300">
            <wp:extent cx="8881110" cy="3624580"/>
            <wp:effectExtent l="0" t="0" r="3810" b="254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4"/>
                    <a:stretch>
                      <a:fillRect/>
                    </a:stretch>
                  </pic:blipFill>
                  <pic:spPr>
                    <a:xfrm>
                      <a:off x="0" y="0"/>
                      <a:ext cx="8881110" cy="3624580"/>
                    </a:xfrm>
                    <a:prstGeom prst="rect">
                      <a:avLst/>
                    </a:prstGeom>
                    <a:noFill/>
                    <a:ln>
                      <a:noFill/>
                    </a:ln>
                  </pic:spPr>
                </pic:pic>
              </a:graphicData>
            </a:graphic>
          </wp:inline>
        </w:drawing>
      </w:r>
    </w:p>
    <w:p>
      <w:pPr>
        <w:ind w:left="0" w:leftChars="0" w:firstLine="0" w:firstLineChars="0"/>
        <w:jc w:val="center"/>
        <w:rPr>
          <w:rFonts w:hint="eastAsia"/>
          <w:color w:val="auto"/>
          <w:lang w:val="en-US" w:eastAsia="zh-CN"/>
        </w:rPr>
      </w:pPr>
      <w:r>
        <w:rPr>
          <w:rFonts w:hint="eastAsia"/>
          <w:color w:val="auto"/>
          <w:lang w:val="en-US" w:eastAsia="zh-CN"/>
        </w:rPr>
        <w:t>图4-3 园区磷系产业体系图</w:t>
      </w:r>
    </w:p>
    <w:p>
      <w:pPr>
        <w:rPr>
          <w:rFonts w:hint="eastAsia"/>
          <w:color w:val="auto"/>
          <w:lang w:val="en-US" w:eastAsia="zh-CN"/>
        </w:rPr>
      </w:pPr>
    </w:p>
    <w:p>
      <w:pPr>
        <w:rPr>
          <w:rFonts w:hint="eastAsia"/>
          <w:color w:val="auto"/>
          <w:lang w:val="en-US" w:eastAsia="zh-CN"/>
        </w:rPr>
        <w:sectPr>
          <w:pgSz w:w="16838" w:h="11906" w:orient="landscape"/>
          <w:pgMar w:top="1800" w:right="1440" w:bottom="1800" w:left="1440" w:header="851" w:footer="992" w:gutter="0"/>
          <w:pgNumType w:fmt="decimal"/>
          <w:cols w:space="425" w:num="1"/>
          <w:docGrid w:type="lines" w:linePitch="312" w:charSpace="0"/>
        </w:sectPr>
      </w:pPr>
    </w:p>
    <w:p>
      <w:pPr>
        <w:rPr>
          <w:rFonts w:hint="eastAsia"/>
          <w:color w:val="auto"/>
          <w:lang w:val="en-US" w:eastAsia="zh-CN"/>
        </w:rPr>
      </w:pPr>
      <w:r>
        <w:rPr>
          <w:rFonts w:hint="eastAsia"/>
          <w:color w:val="auto"/>
          <w:lang w:val="en-US" w:eastAsia="zh-CN"/>
        </w:rPr>
        <w:t>由以上分析可知，磷系产业为园区主导发展产业体系，同样为主要生产用能行业，本次典型分析按磷矿开采、磷化工、磷系新材料等产业链进行分析。</w:t>
      </w:r>
    </w:p>
    <w:p>
      <w:pPr>
        <w:rPr>
          <w:rFonts w:hint="eastAsia"/>
          <w:color w:val="auto"/>
          <w:lang w:val="en-US" w:eastAsia="zh-CN"/>
        </w:rPr>
      </w:pPr>
      <w:r>
        <w:rPr>
          <w:rFonts w:hint="eastAsia"/>
          <w:color w:val="auto"/>
          <w:lang w:val="en-US" w:eastAsia="zh-CN"/>
        </w:rPr>
        <w:t>（2）典型工艺</w:t>
      </w:r>
    </w:p>
    <w:p>
      <w:pPr>
        <w:rPr>
          <w:rFonts w:hint="eastAsia"/>
          <w:color w:val="auto"/>
          <w:lang w:val="en-US" w:eastAsia="zh-CN"/>
        </w:rPr>
      </w:pPr>
      <w:r>
        <w:rPr>
          <w:rFonts w:hint="eastAsia"/>
          <w:color w:val="auto"/>
          <w:lang w:val="en-US" w:eastAsia="zh-CN"/>
        </w:rPr>
        <w:t>1）磷矿开采</w:t>
      </w:r>
    </w:p>
    <w:p>
      <w:pPr>
        <w:rPr>
          <w:rFonts w:hint="eastAsia"/>
          <w:color w:val="auto"/>
          <w:lang w:val="en-US" w:eastAsia="zh-CN"/>
        </w:rPr>
      </w:pPr>
      <w:r>
        <w:rPr>
          <w:rFonts w:hint="eastAsia"/>
          <w:color w:val="auto"/>
          <w:lang w:val="en-US" w:eastAsia="zh-CN"/>
        </w:rPr>
        <w:t>磷矿开采是在矿山设计完成后，矿山开始施工开拓巷道、采准巷道及相关安装工程，准备完毕后即可进行回采。磷矿开采目前采用脉外采准充填采矿法，采矿工艺先进。首先，利用中深孔台车施工炮孔，然后采用装药台车装药联线放炮，再利用铲运机出矿至盘区溜井，最后锚网台车锚网支护，完成一个循环，如此往复直至矿房回采完毕。矿石进入盘区溜井后，由中段运输汽车运至中段溜井，由胶带机提升至地表矿仓，再经胶带转运至化工基地直接利用或选矿车间选矿，形成的尾渣经过处理后再通过管道输送至回采的空区进行充填。磷矿开采常规工艺流程如下图所示。</w:t>
      </w:r>
    </w:p>
    <w:p>
      <w:pPr>
        <w:ind w:left="0" w:leftChars="0" w:firstLine="0" w:firstLineChars="0"/>
        <w:rPr>
          <w:rFonts w:hint="eastAsia"/>
          <w:color w:val="auto"/>
          <w:lang w:val="en-US" w:eastAsia="zh-CN"/>
        </w:rPr>
      </w:pPr>
      <w:r>
        <w:rPr>
          <w:color w:val="auto"/>
        </w:rPr>
        <w:object>
          <v:shape id="_x0000_i1026" o:spt="75" type="#_x0000_t75" style="height:398.45pt;width:401.25pt;" o:ole="t" filled="f" o:preferrelative="t" stroked="f" coordsize="21600,21600">
            <v:path/>
            <v:fill on="f" focussize="0,0"/>
            <v:stroke on="f"/>
            <v:imagedata r:id="rId26" o:title=""/>
            <o:lock v:ext="edit" aspectratio="t"/>
            <w10:wrap type="none"/>
            <w10:anchorlock/>
          </v:shape>
          <o:OLEObject Type="Embed" ProgID="Visio.Drawing.11" ShapeID="_x0000_i1026" DrawAspect="Content" ObjectID="_1468075726" r:id="rId25">
            <o:LockedField>false</o:LockedField>
          </o:OLEObject>
        </w:object>
      </w:r>
    </w:p>
    <w:p>
      <w:pPr>
        <w:jc w:val="center"/>
        <w:rPr>
          <w:rFonts w:hint="eastAsia"/>
          <w:color w:val="auto"/>
          <w:lang w:val="en-US" w:eastAsia="zh-CN"/>
        </w:rPr>
      </w:pPr>
      <w:r>
        <w:rPr>
          <w:rFonts w:hint="eastAsia"/>
          <w:color w:val="auto"/>
          <w:lang w:val="en-US" w:eastAsia="zh-CN"/>
        </w:rPr>
        <w:t>图4-4 磷矿开采常规工艺流程图</w:t>
      </w:r>
    </w:p>
    <w:p>
      <w:pPr>
        <w:rPr>
          <w:rFonts w:hint="eastAsia"/>
          <w:color w:val="auto"/>
          <w:lang w:val="en-US" w:eastAsia="zh-CN"/>
        </w:rPr>
      </w:pPr>
      <w:r>
        <w:rPr>
          <w:rFonts w:hint="eastAsia"/>
          <w:color w:val="auto"/>
          <w:lang w:val="en-US" w:eastAsia="zh-CN"/>
        </w:rPr>
        <w:t>根据磷矿开采工艺，磷矿开采主要用能系统包括采掘系统、运输系统、通风系统、排水系统和充填系统。</w:t>
      </w:r>
    </w:p>
    <w:p>
      <w:pPr>
        <w:rPr>
          <w:rFonts w:hint="eastAsia"/>
          <w:color w:val="auto"/>
          <w:lang w:val="en-US" w:eastAsia="zh-CN"/>
        </w:rPr>
      </w:pPr>
      <w:r>
        <w:rPr>
          <w:rFonts w:hint="eastAsia"/>
          <w:color w:val="auto"/>
          <w:lang w:val="en-US" w:eastAsia="zh-CN"/>
        </w:rPr>
        <w:t>2）基础磷化工</w:t>
      </w:r>
    </w:p>
    <w:p>
      <w:pPr>
        <w:rPr>
          <w:rFonts w:hint="eastAsia"/>
          <w:color w:val="auto"/>
          <w:lang w:val="en-US" w:eastAsia="zh-CN"/>
        </w:rPr>
      </w:pPr>
      <w:r>
        <w:rPr>
          <w:rFonts w:hint="eastAsia"/>
          <w:color w:val="auto"/>
          <w:lang w:val="en-US" w:eastAsia="zh-CN"/>
        </w:rPr>
        <w:t>根据磷系产业体系，基础磷化工产品主要包括黄磷生产、磷酸加工、磷伴生元素加工等。</w:t>
      </w:r>
    </w:p>
    <w:p>
      <w:pPr>
        <w:rPr>
          <w:rFonts w:hint="eastAsia"/>
          <w:color w:val="auto"/>
          <w:lang w:val="en-US" w:eastAsia="zh-CN"/>
        </w:rPr>
      </w:pPr>
      <w:r>
        <w:rPr>
          <w:rFonts w:hint="eastAsia"/>
          <w:color w:val="auto"/>
          <w:lang w:val="en-US" w:eastAsia="zh-CN"/>
        </w:rPr>
        <w:t>①黄磷生产</w:t>
      </w:r>
    </w:p>
    <w:p>
      <w:pPr>
        <w:rPr>
          <w:rFonts w:hint="eastAsia"/>
          <w:color w:val="auto"/>
          <w:lang w:val="en-US" w:eastAsia="zh-CN"/>
        </w:rPr>
      </w:pPr>
      <w:r>
        <w:rPr>
          <w:rFonts w:hint="eastAsia"/>
          <w:color w:val="auto"/>
          <w:lang w:val="en-US" w:eastAsia="zh-CN"/>
        </w:rPr>
        <w:t>基础磷化工主要为黄磷生产，主要采用电炉法进行生产，工艺流程：将合格的磷矿、硅石和白煤分别加入料仓，按工艺配比要求混合均匀，在三相密闭电炉中加热，在高温下（1300～1500℃）进行化学反应。还原所得元素磷生成磷蒸气随同炉气（主要是CO）逸出，元素磷在收磷系统中经漂洗冷凝精制而得合格成品磷。一氧化碳气体净化后作为燃料或其他综合利用，硅酸钙炉渣及磷铁从电炉中定期排出，得到磷铁副产品。其主要化学反应如下：</w:t>
      </w:r>
    </w:p>
    <w:p>
      <w:pPr>
        <w:rPr>
          <w:rFonts w:hint="eastAsia"/>
          <w:color w:val="auto"/>
          <w:lang w:val="en-US" w:eastAsia="zh-CN"/>
        </w:rPr>
      </w:pPr>
      <w:r>
        <w:rPr>
          <w:rFonts w:hint="eastAsia"/>
          <w:color w:val="auto"/>
          <w:lang w:val="en-US" w:eastAsia="zh-CN"/>
        </w:rPr>
        <w:t>Ca</w:t>
      </w:r>
      <w:r>
        <w:rPr>
          <w:rFonts w:hint="eastAsia"/>
          <w:color w:val="auto"/>
          <w:vertAlign w:val="subscript"/>
          <w:lang w:val="en-US" w:eastAsia="zh-CN"/>
        </w:rPr>
        <w:t>5</w:t>
      </w:r>
      <w:r>
        <w:rPr>
          <w:rFonts w:hint="eastAsia"/>
          <w:color w:val="auto"/>
          <w:lang w:val="en-US" w:eastAsia="zh-CN"/>
        </w:rPr>
        <w:t>F(PO</w:t>
      </w:r>
      <w:r>
        <w:rPr>
          <w:rFonts w:hint="eastAsia"/>
          <w:color w:val="auto"/>
          <w:vertAlign w:val="subscript"/>
          <w:lang w:val="en-US" w:eastAsia="zh-CN"/>
        </w:rPr>
        <w:t>4</w:t>
      </w:r>
      <w:r>
        <w:rPr>
          <w:rFonts w:hint="eastAsia"/>
          <w:color w:val="auto"/>
          <w:lang w:val="en-US" w:eastAsia="zh-CN"/>
        </w:rPr>
        <w:t>)</w:t>
      </w:r>
      <w:r>
        <w:rPr>
          <w:rFonts w:hint="eastAsia"/>
          <w:color w:val="auto"/>
          <w:vertAlign w:val="subscript"/>
          <w:lang w:val="en-US" w:eastAsia="zh-CN"/>
        </w:rPr>
        <w:t>3</w:t>
      </w:r>
      <w:r>
        <w:rPr>
          <w:rFonts w:hint="eastAsia"/>
          <w:color w:val="auto"/>
          <w:lang w:val="en-US" w:eastAsia="zh-CN"/>
        </w:rPr>
        <w:t>+ 30C＋21SiO</w:t>
      </w:r>
      <w:r>
        <w:rPr>
          <w:rFonts w:hint="eastAsia"/>
          <w:color w:val="auto"/>
          <w:vertAlign w:val="subscript"/>
          <w:lang w:val="en-US" w:eastAsia="zh-CN"/>
        </w:rPr>
        <w:t>2</w:t>
      </w:r>
      <w:r>
        <w:rPr>
          <w:rFonts w:hint="eastAsia"/>
          <w:color w:val="auto"/>
          <w:lang w:val="en-US" w:eastAsia="zh-CN"/>
        </w:rPr>
        <w:t>→20CaSiO</w:t>
      </w:r>
      <w:r>
        <w:rPr>
          <w:rFonts w:hint="eastAsia"/>
          <w:color w:val="auto"/>
          <w:vertAlign w:val="subscript"/>
          <w:lang w:val="en-US" w:eastAsia="zh-CN"/>
        </w:rPr>
        <w:t>3</w:t>
      </w:r>
      <w:r>
        <w:rPr>
          <w:rFonts w:hint="eastAsia"/>
          <w:color w:val="auto"/>
          <w:lang w:val="en-US" w:eastAsia="zh-CN"/>
        </w:rPr>
        <w:t xml:space="preserve"> + 3P</w:t>
      </w:r>
      <w:r>
        <w:rPr>
          <w:rFonts w:hint="eastAsia"/>
          <w:color w:val="auto"/>
          <w:vertAlign w:val="subscript"/>
          <w:lang w:val="en-US" w:eastAsia="zh-CN"/>
        </w:rPr>
        <w:t>4</w:t>
      </w:r>
      <w:r>
        <w:rPr>
          <w:rFonts w:hint="eastAsia"/>
          <w:color w:val="auto"/>
          <w:lang w:val="en-US" w:eastAsia="zh-CN"/>
        </w:rPr>
        <w:t>↑+ 30CO↑ + SiF</w:t>
      </w:r>
      <w:r>
        <w:rPr>
          <w:rFonts w:hint="eastAsia"/>
          <w:color w:val="auto"/>
          <w:vertAlign w:val="subscript"/>
          <w:lang w:val="en-US" w:eastAsia="zh-CN"/>
        </w:rPr>
        <w:t>4</w:t>
      </w:r>
      <w:r>
        <w:rPr>
          <w:rFonts w:hint="eastAsia"/>
          <w:color w:val="auto"/>
          <w:lang w:val="en-US" w:eastAsia="zh-CN"/>
        </w:rPr>
        <w:t>↑</w:t>
      </w:r>
    </w:p>
    <w:p>
      <w:pPr>
        <w:rPr>
          <w:rFonts w:hint="eastAsia"/>
          <w:color w:val="auto"/>
          <w:lang w:val="en-US" w:eastAsia="zh-CN"/>
        </w:rPr>
      </w:pPr>
      <w:r>
        <w:rPr>
          <w:rFonts w:hint="eastAsia"/>
          <w:color w:val="auto"/>
          <w:lang w:val="en-US" w:eastAsia="zh-CN"/>
        </w:rPr>
        <w:t>电炉法生产黄磷由七个工序组成：原料准备、电炉制磷、粗磷精制、成品包装、尾气净化、炉渣处理和污水处理。其工艺流程如下图所示。</w:t>
      </w:r>
    </w:p>
    <w:p>
      <w:pPr>
        <w:ind w:left="0" w:leftChars="0" w:firstLine="0" w:firstLineChars="0"/>
        <w:rPr>
          <w:rFonts w:cs="Times New Roman"/>
          <w:color w:val="auto"/>
        </w:rPr>
      </w:pPr>
      <w:r>
        <w:rPr>
          <w:rFonts w:cs="Times New Roman"/>
          <w:color w:val="auto"/>
        </w:rPr>
        <w:drawing>
          <wp:inline distT="0" distB="0" distL="0" distR="0">
            <wp:extent cx="5668645" cy="4757420"/>
            <wp:effectExtent l="0" t="0" r="635" b="1270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668645" cy="4757420"/>
                    </a:xfrm>
                    <a:prstGeom prst="rect">
                      <a:avLst/>
                    </a:prstGeom>
                    <a:noFill/>
                  </pic:spPr>
                </pic:pic>
              </a:graphicData>
            </a:graphic>
          </wp:inline>
        </w:drawing>
      </w:r>
    </w:p>
    <w:p>
      <w:pPr>
        <w:bidi w:val="0"/>
        <w:jc w:val="center"/>
        <w:rPr>
          <w:rFonts w:hint="eastAsia"/>
          <w:color w:val="auto"/>
          <w:lang w:val="en-US" w:eastAsia="zh-CN"/>
        </w:rPr>
      </w:pPr>
      <w:r>
        <w:rPr>
          <w:rFonts w:hint="eastAsia"/>
          <w:color w:val="auto"/>
          <w:lang w:val="en-US" w:eastAsia="zh-CN"/>
        </w:rPr>
        <w:t>图4-5 黄磷生产工艺流程图</w:t>
      </w:r>
    </w:p>
    <w:p>
      <w:pPr>
        <w:rPr>
          <w:rFonts w:hint="eastAsia"/>
          <w:color w:val="auto"/>
          <w:lang w:val="en-US" w:eastAsia="zh-CN"/>
        </w:rPr>
      </w:pPr>
      <w:r>
        <w:rPr>
          <w:rFonts w:hint="eastAsia"/>
          <w:color w:val="auto"/>
          <w:lang w:val="en-US" w:eastAsia="zh-CN"/>
        </w:rPr>
        <w:t>根据黄磷生产工艺，黄磷生产主要用能设备为黄磷电炉。</w:t>
      </w:r>
    </w:p>
    <w:p>
      <w:pPr>
        <w:rPr>
          <w:rFonts w:hint="eastAsia"/>
          <w:color w:val="auto"/>
          <w:lang w:val="en-US" w:eastAsia="zh-CN"/>
        </w:rPr>
      </w:pPr>
      <w:r>
        <w:rPr>
          <w:rFonts w:hint="eastAsia"/>
          <w:color w:val="auto"/>
          <w:lang w:val="en-US" w:eastAsia="zh-CN"/>
        </w:rPr>
        <w:t>②磷酸、磷酸一铵</w:t>
      </w:r>
    </w:p>
    <w:p>
      <w:pPr>
        <w:rPr>
          <w:rFonts w:hint="eastAsia"/>
          <w:color w:val="auto"/>
          <w:lang w:val="en-US" w:eastAsia="zh-CN"/>
        </w:rPr>
      </w:pPr>
      <w:r>
        <w:rPr>
          <w:rFonts w:hint="eastAsia"/>
          <w:color w:val="auto"/>
          <w:lang w:val="en-US" w:eastAsia="zh-CN"/>
        </w:rPr>
        <w:t>外购磷矿经过破碎系统，破碎成≤5cm 的细块矿，经铲车铲到磷矿料仓，再经大倾角皮带输送至球磨机高位料仓，通过槽式给料机将磷矿输入球磨机同时调整加水量，球磨机出来的矿将经加水调整比重后泵进旋流分砂器。合格的细矿浆泵送至矿浆浓密机，经过加絮凝剂沉降，底流矿浆输送至高位矿浆槽、溢流水进溢流水储槽再泵送去球磨系统，不合格的粗矿浆返回球磨机。来自硫酸罐的98%的浓硫酸经泵送并计量后进萃取槽，与来自高位矿浆槽经计量的矿浆反应生成料浆，再通过料浆泵输送（流量计计量）至转台过滤机，经过真空过滤、并洗涤干净的磷石膏经石膏皮带输送去石膏堆场暂存后综合利用，成品滤液经泵输送至磷酸罐储存，洗液经泵返回萃取槽，产生的尾气经三次洗涤合格后经尾气风机烟囱排空。</w:t>
      </w:r>
    </w:p>
    <w:p>
      <w:pPr>
        <w:rPr>
          <w:rFonts w:hint="eastAsia"/>
          <w:color w:val="auto"/>
          <w:lang w:val="en-US" w:eastAsia="zh-CN"/>
        </w:rPr>
      </w:pPr>
      <w:r>
        <w:rPr>
          <w:rFonts w:hint="eastAsia"/>
          <w:color w:val="auto"/>
          <w:lang w:val="en-US" w:eastAsia="zh-CN"/>
        </w:rPr>
        <w:t>来自磷酸罐的澄清磷酸（固含量≤0.5%）与来自氨站的气氨在中和循环系统生成中和度为1.01-1.05之间的料浆，经过料管过料到二效浓缩，通过来自分气缸的二次蒸汽浓缩，当料浆含水量达到40-50%的时候，经二效浓缩到一效浓缩的过料管过料到一效浓缩，通过来自硫酸的蒸汽再次浓缩，当料浆含水量达到25-30%的时候用高压泵进喷雾干燥塔经雾化器雾化后与来自硫磺制酸的热空气进行干燥，再通过成品皮带输送至成品包装段经计量后包装入库待检，合格后的农用级粉状磷酸一铵产品出库。</w:t>
      </w:r>
    </w:p>
    <w:p>
      <w:pPr>
        <w:rPr>
          <w:rFonts w:hint="eastAsia"/>
          <w:color w:val="auto"/>
          <w:lang w:val="en-US" w:eastAsia="zh-CN"/>
        </w:rPr>
      </w:pPr>
    </w:p>
    <w:p>
      <w:pPr>
        <w:ind w:left="0" w:leftChars="0" w:firstLine="0" w:firstLineChars="0"/>
        <w:rPr>
          <w:rFonts w:hint="eastAsia"/>
          <w:color w:val="auto"/>
          <w:lang w:val="en-US" w:eastAsia="zh-CN"/>
        </w:rPr>
      </w:pPr>
      <w:r>
        <w:rPr>
          <w:rFonts w:cs="Times New Roman"/>
          <w:color w:val="auto"/>
        </w:rPr>
        <w:drawing>
          <wp:inline distT="0" distB="0" distL="114300" distR="114300">
            <wp:extent cx="5405120" cy="5367655"/>
            <wp:effectExtent l="0" t="0" r="5080" b="12065"/>
            <wp:docPr id="16" name="图片 16" descr="70c6abc069d9aa3f4f34b18c40de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0c6abc069d9aa3f4f34b18c40de929"/>
                    <pic:cNvPicPr>
                      <a:picLocks noChangeAspect="1"/>
                    </pic:cNvPicPr>
                  </pic:nvPicPr>
                  <pic:blipFill>
                    <a:blip r:embed="rId28"/>
                    <a:stretch>
                      <a:fillRect/>
                    </a:stretch>
                  </pic:blipFill>
                  <pic:spPr>
                    <a:xfrm>
                      <a:off x="0" y="0"/>
                      <a:ext cx="5405120" cy="5367655"/>
                    </a:xfrm>
                    <a:prstGeom prst="rect">
                      <a:avLst/>
                    </a:prstGeom>
                  </pic:spPr>
                </pic:pic>
              </a:graphicData>
            </a:graphic>
          </wp:inline>
        </w:drawing>
      </w:r>
    </w:p>
    <w:p>
      <w:pPr>
        <w:jc w:val="center"/>
        <w:rPr>
          <w:rFonts w:hint="eastAsia"/>
          <w:color w:val="auto"/>
          <w:lang w:val="en-US" w:eastAsia="zh-CN"/>
        </w:rPr>
      </w:pPr>
      <w:r>
        <w:rPr>
          <w:rFonts w:hint="eastAsia"/>
          <w:color w:val="auto"/>
          <w:lang w:val="en-US" w:eastAsia="zh-CN"/>
        </w:rPr>
        <w:t>图4-6 磷酸、磷酸一铵生产工艺流程图</w:t>
      </w:r>
    </w:p>
    <w:p>
      <w:pPr>
        <w:rPr>
          <w:rFonts w:hint="eastAsia"/>
          <w:color w:val="auto"/>
          <w:lang w:val="en-US" w:eastAsia="zh-CN"/>
        </w:rPr>
      </w:pPr>
      <w:r>
        <w:rPr>
          <w:rFonts w:hint="eastAsia"/>
          <w:color w:val="auto"/>
          <w:lang w:val="en-US" w:eastAsia="zh-CN"/>
        </w:rPr>
        <w:t>根据磷酸、磷酸一铵生产工艺，其主要用能设备包括破碎、浓缩、造粒、干燥等工序设备。</w:t>
      </w:r>
    </w:p>
    <w:p>
      <w:pPr>
        <w:rPr>
          <w:rFonts w:hint="eastAsia"/>
          <w:color w:val="auto"/>
          <w:lang w:val="en-US" w:eastAsia="zh-CN"/>
        </w:rPr>
      </w:pPr>
      <w:r>
        <w:rPr>
          <w:rFonts w:hint="eastAsia"/>
          <w:color w:val="auto"/>
          <w:lang w:val="en-US" w:eastAsia="zh-CN"/>
        </w:rPr>
        <w:t>③磷酸铁、磷酸铁锂</w:t>
      </w:r>
    </w:p>
    <w:p>
      <w:pPr>
        <w:rPr>
          <w:rFonts w:hint="eastAsia"/>
          <w:color w:val="auto"/>
          <w:lang w:val="en-US" w:eastAsia="zh-CN"/>
        </w:rPr>
      </w:pPr>
      <w:r>
        <w:rPr>
          <w:rFonts w:hint="eastAsia"/>
          <w:color w:val="auto"/>
          <w:lang w:val="en-US" w:eastAsia="zh-CN"/>
        </w:rPr>
        <w:t>磷酸铁：FePO</w:t>
      </w:r>
      <w:r>
        <w:rPr>
          <w:rFonts w:hint="eastAsia"/>
          <w:color w:val="auto"/>
          <w:vertAlign w:val="subscript"/>
          <w:lang w:val="en-US" w:eastAsia="zh-CN"/>
        </w:rPr>
        <w:t>4</w:t>
      </w:r>
      <w:r>
        <w:rPr>
          <w:rFonts w:hint="eastAsia"/>
          <w:color w:val="auto"/>
          <w:lang w:val="en-US" w:eastAsia="zh-CN"/>
        </w:rPr>
        <w:t>制备的工艺流程简述：在反应釜内预先剩有一定量的工艺水，加入少量双氧水、烧碱，调节溶液pH到指定值，分别加入硫酸亚铁和高纯磷酸，严格控制反应釜反应温度在20-50℃，反应pH控制在3-5，反应完全后，然后通过洗涤过滤，微波干燥制得非晶体前驱体FePO</w:t>
      </w:r>
      <w:r>
        <w:rPr>
          <w:rFonts w:hint="eastAsia"/>
          <w:color w:val="auto"/>
          <w:vertAlign w:val="subscript"/>
          <w:lang w:val="en-US" w:eastAsia="zh-CN"/>
        </w:rPr>
        <w:t>4</w:t>
      </w:r>
      <w:r>
        <w:rPr>
          <w:rFonts w:hint="eastAsia"/>
          <w:color w:val="auto"/>
          <w:lang w:val="en-US" w:eastAsia="zh-CN"/>
        </w:rPr>
        <w:t>·XH</w:t>
      </w:r>
      <w:r>
        <w:rPr>
          <w:rFonts w:hint="eastAsia"/>
          <w:color w:val="auto"/>
          <w:vertAlign w:val="subscript"/>
          <w:lang w:val="en-US" w:eastAsia="zh-CN"/>
        </w:rPr>
        <w:t>2</w:t>
      </w:r>
      <w:r>
        <w:rPr>
          <w:rFonts w:hint="eastAsia"/>
          <w:color w:val="auto"/>
          <w:lang w:val="en-US" w:eastAsia="zh-CN"/>
        </w:rPr>
        <w:t>O，最后将所制得的非晶体前驱FePO</w:t>
      </w:r>
      <w:r>
        <w:rPr>
          <w:rFonts w:hint="eastAsia"/>
          <w:color w:val="auto"/>
          <w:vertAlign w:val="subscript"/>
          <w:lang w:val="en-US" w:eastAsia="zh-CN"/>
        </w:rPr>
        <w:t>4</w:t>
      </w:r>
      <w:r>
        <w:rPr>
          <w:rFonts w:hint="eastAsia"/>
          <w:color w:val="auto"/>
          <w:lang w:val="en-US" w:eastAsia="zh-CN"/>
        </w:rPr>
        <w:t>·XH</w:t>
      </w:r>
      <w:r>
        <w:rPr>
          <w:rFonts w:hint="eastAsia"/>
          <w:color w:val="auto"/>
          <w:vertAlign w:val="subscript"/>
          <w:lang w:val="en-US" w:eastAsia="zh-CN"/>
        </w:rPr>
        <w:t>2</w:t>
      </w:r>
      <w:r>
        <w:rPr>
          <w:rFonts w:hint="eastAsia"/>
          <w:color w:val="auto"/>
          <w:lang w:val="en-US" w:eastAsia="zh-CN"/>
        </w:rPr>
        <w:t>O，通过辊道炉低温预焙烧得到无水FePO</w:t>
      </w:r>
      <w:r>
        <w:rPr>
          <w:rFonts w:hint="eastAsia"/>
          <w:color w:val="auto"/>
          <w:vertAlign w:val="subscript"/>
          <w:lang w:val="en-US" w:eastAsia="zh-CN"/>
        </w:rPr>
        <w:t>4</w:t>
      </w:r>
      <w:r>
        <w:rPr>
          <w:rFonts w:hint="eastAsia"/>
          <w:color w:val="auto"/>
          <w:lang w:val="en-US" w:eastAsia="zh-CN"/>
        </w:rPr>
        <w:t>前驱体。</w:t>
      </w:r>
    </w:p>
    <w:p>
      <w:pPr>
        <w:rPr>
          <w:rFonts w:hint="eastAsia"/>
          <w:color w:val="auto"/>
          <w:lang w:val="en-US" w:eastAsia="zh-CN"/>
        </w:rPr>
      </w:pPr>
      <w:r>
        <w:rPr>
          <w:rFonts w:hint="eastAsia"/>
          <w:color w:val="auto"/>
          <w:lang w:val="en-US" w:eastAsia="zh-CN"/>
        </w:rPr>
        <w:t>磷酸铁锂：将磷酸铁、碳酸锂、葡萄糖按照配方比例混合，通过球磨机磨粉均混、喷雾干燥机干燥、烧结炉烧结、破碎除铁，最后得到产品磷酸铁锂。</w:t>
      </w:r>
    </w:p>
    <w:p>
      <w:pPr>
        <w:rPr>
          <w:rFonts w:hint="eastAsia"/>
          <w:color w:val="auto"/>
          <w:lang w:val="en-US" w:eastAsia="zh-CN"/>
        </w:rPr>
      </w:pPr>
      <w:r>
        <w:rPr>
          <w:rFonts w:hint="eastAsia"/>
          <w:color w:val="auto"/>
          <w:lang w:val="en-US" w:eastAsia="zh-CN"/>
        </w:rPr>
        <w:t>④磷伴生元素加工</w:t>
      </w:r>
    </w:p>
    <w:p>
      <w:pPr>
        <w:rPr>
          <w:rFonts w:hint="eastAsia"/>
          <w:color w:val="auto"/>
          <w:lang w:val="en-US" w:eastAsia="zh-CN"/>
        </w:rPr>
      </w:pPr>
      <w:r>
        <w:rPr>
          <w:rFonts w:hint="eastAsia"/>
          <w:color w:val="auto"/>
          <w:lang w:val="en-US" w:eastAsia="zh-CN"/>
        </w:rPr>
        <w:t>园区现有磷伴生元素加工项目为无水氟化氢装置，其工艺为：以氟硅酸和浓硫酸为原料，经过浓缩、过滤、反应、净化、精馏等工段，生产无水氟化氢产品。</w:t>
      </w:r>
    </w:p>
    <w:p>
      <w:pPr>
        <w:rPr>
          <w:rFonts w:hint="eastAsia"/>
          <w:color w:val="auto"/>
          <w:lang w:val="en-US" w:eastAsia="zh-CN"/>
        </w:rPr>
      </w:pPr>
      <w:r>
        <w:rPr>
          <w:rFonts w:hint="eastAsia"/>
          <w:color w:val="auto"/>
          <w:lang w:val="en-US" w:eastAsia="zh-CN"/>
        </w:rPr>
        <w:t>其主要用能设备空压机、冷冻机组等。</w:t>
      </w:r>
    </w:p>
    <w:p>
      <w:pPr>
        <w:rPr>
          <w:rFonts w:hint="eastAsia"/>
          <w:color w:val="auto"/>
          <w:lang w:val="en-US" w:eastAsia="zh-CN"/>
        </w:rPr>
      </w:pPr>
      <w:r>
        <w:rPr>
          <w:rFonts w:hint="eastAsia"/>
          <w:color w:val="auto"/>
          <w:lang w:val="en-US" w:eastAsia="zh-CN"/>
        </w:rPr>
        <w:t>3）精细磷化工</w:t>
      </w:r>
    </w:p>
    <w:p>
      <w:pPr>
        <w:rPr>
          <w:rFonts w:hint="eastAsia"/>
          <w:color w:val="auto"/>
          <w:lang w:val="en-US" w:eastAsia="zh-CN"/>
        </w:rPr>
      </w:pPr>
      <w:r>
        <w:rPr>
          <w:rFonts w:hint="eastAsia"/>
          <w:color w:val="auto"/>
          <w:lang w:val="en-US" w:eastAsia="zh-CN"/>
        </w:rPr>
        <w:t>精细磷化工产品众多，本次典型工艺分析六偏磷酸钠生产、聚磷酸生产工艺。</w:t>
      </w:r>
    </w:p>
    <w:p>
      <w:pPr>
        <w:rPr>
          <w:rFonts w:hint="eastAsia"/>
          <w:color w:val="auto"/>
          <w:lang w:val="en-US" w:eastAsia="zh-CN"/>
        </w:rPr>
      </w:pPr>
      <w:r>
        <w:rPr>
          <w:rFonts w:hint="eastAsia"/>
          <w:color w:val="auto"/>
          <w:lang w:val="en-US" w:eastAsia="zh-CN"/>
        </w:rPr>
        <w:t>①六偏磷酸钠生产</w:t>
      </w:r>
    </w:p>
    <w:p>
      <w:pPr>
        <w:rPr>
          <w:rFonts w:hint="eastAsia"/>
          <w:color w:val="auto"/>
          <w:lang w:val="en-US" w:eastAsia="zh-CN"/>
        </w:rPr>
      </w:pPr>
      <w:r>
        <w:rPr>
          <w:rFonts w:hint="eastAsia"/>
          <w:color w:val="auto"/>
          <w:lang w:val="en-US" w:eastAsia="zh-CN"/>
        </w:rPr>
        <w:t>采用液相中和、干燥（结晶）熔聚法，利用液碱和该厂生产的磷酸为原料生产六偏磷酸钠，同时可利用黄磷炉尾气燃烧的热量作为六偏磷酸钠的聚合热源，废气得到综合利用，降低成本，保护环境。</w:t>
      </w:r>
    </w:p>
    <w:p>
      <w:pPr>
        <w:rPr>
          <w:rFonts w:hint="eastAsia"/>
          <w:color w:val="auto"/>
          <w:lang w:val="en-US" w:eastAsia="zh-CN"/>
        </w:rPr>
      </w:pPr>
      <w:r>
        <w:rPr>
          <w:rFonts w:hint="eastAsia"/>
          <w:color w:val="auto"/>
          <w:lang w:val="en-US" w:eastAsia="zh-CN"/>
        </w:rPr>
        <w:t>碱和磷酸在反应釜中以适当温度进行中和反应，控制pH值，生成磷酸二氢钠溶液，打入聚合炉，聚合炉分三部分，第一部分为蒸发段，第二部分为干燥段，第三部分为聚合段继续加热脱去结构水，加热生成偏磷酸钠，并聚合生成六偏磷酸钠，流出聚合炉，经对辊冷却机，经粉碎制得六偏磷酸钠成品。净化后的黄磷尾气燃烧作为聚合炉热源，排出聚合炉的尾气，经余热锅炉回收余热后由15m烟囱排放。</w:t>
      </w:r>
    </w:p>
    <w:p>
      <w:pPr>
        <w:ind w:left="0" w:leftChars="0" w:firstLine="0" w:firstLineChars="0"/>
        <w:rPr>
          <w:rFonts w:hint="eastAsia"/>
          <w:color w:val="auto"/>
          <w:lang w:val="en-US" w:eastAsia="zh-CN"/>
        </w:rPr>
      </w:pPr>
      <w:r>
        <w:rPr>
          <w:rFonts w:ascii="Times New Roman" w:hAnsi="Times New Roman" w:eastAsia="仿宋_GB2312" w:cs="Times New Roman"/>
          <w:color w:val="auto"/>
          <w:sz w:val="28"/>
          <w:szCs w:val="28"/>
        </w:rPr>
        <w:object>
          <v:shape id="_x0000_i1027" o:spt="75" type="#_x0000_t75" style="height:472.25pt;width:407.25pt;" o:ole="t" filled="f" o:preferrelative="t" stroked="f" coordsize="21600,21600">
            <v:path/>
            <v:fill on="f" focussize="0,0"/>
            <v:stroke on="f"/>
            <v:imagedata r:id="rId30" o:title=""/>
            <o:lock v:ext="edit" aspectratio="t"/>
            <w10:wrap type="none"/>
            <w10:anchorlock/>
          </v:shape>
          <o:OLEObject Type="Embed" ProgID="SmartDraw.2" ShapeID="_x0000_i1027" DrawAspect="Content" ObjectID="_1468075727" r:id="rId29">
            <o:LockedField>false</o:LockedField>
          </o:OLEObject>
        </w:object>
      </w:r>
    </w:p>
    <w:p>
      <w:pPr>
        <w:jc w:val="center"/>
        <w:rPr>
          <w:rFonts w:hint="eastAsia"/>
          <w:color w:val="auto"/>
          <w:lang w:val="en-US" w:eastAsia="zh-CN"/>
        </w:rPr>
      </w:pPr>
      <w:r>
        <w:rPr>
          <w:rFonts w:hint="eastAsia"/>
          <w:color w:val="auto"/>
          <w:lang w:val="en-US" w:eastAsia="zh-CN"/>
        </w:rPr>
        <w:t>图4-7 六偏磷酸钠生产工艺流程图</w:t>
      </w:r>
    </w:p>
    <w:p>
      <w:pPr>
        <w:rPr>
          <w:rFonts w:hint="eastAsia"/>
          <w:color w:val="auto"/>
          <w:lang w:val="en-US" w:eastAsia="zh-CN"/>
        </w:rPr>
      </w:pPr>
      <w:r>
        <w:rPr>
          <w:rFonts w:hint="eastAsia"/>
          <w:color w:val="auto"/>
          <w:lang w:val="en-US" w:eastAsia="zh-CN"/>
        </w:rPr>
        <w:t>②聚磷酸生产</w:t>
      </w:r>
    </w:p>
    <w:p>
      <w:pPr>
        <w:rPr>
          <w:rFonts w:hint="eastAsia"/>
          <w:color w:val="auto"/>
          <w:lang w:val="en-US" w:eastAsia="zh-CN"/>
        </w:rPr>
      </w:pPr>
      <w:r>
        <w:rPr>
          <w:rFonts w:hint="eastAsia"/>
          <w:color w:val="auto"/>
          <w:lang w:val="en-US" w:eastAsia="zh-CN"/>
        </w:rPr>
        <w:t>液态黄磷与助燃的空气在压缩风机的作用下，经喷磷枪接口管自动进入特殊燃磷炉内燃烧，在生成五氧化二磷的同时放出大量的热能。这些热能通过换热被设置于燃烧塔壁面的一系列上升管内的水所吸收，实现热法磷酸在黄磷燃烧时热能的回收，并产生蒸汽。燃烧塔、水合塔出来的气体进入文氏管，文氏管内喷出的磷酸进一步吸收P</w:t>
      </w:r>
      <w:r>
        <w:rPr>
          <w:rFonts w:hint="eastAsia"/>
          <w:color w:val="auto"/>
          <w:vertAlign w:val="subscript"/>
          <w:lang w:val="en-US" w:eastAsia="zh-CN"/>
        </w:rPr>
        <w:t>2</w:t>
      </w:r>
      <w:r>
        <w:rPr>
          <w:rFonts w:hint="eastAsia"/>
          <w:color w:val="auto"/>
          <w:lang w:val="en-US" w:eastAsia="zh-CN"/>
        </w:rPr>
        <w:t>O</w:t>
      </w:r>
      <w:r>
        <w:rPr>
          <w:rFonts w:hint="eastAsia"/>
          <w:color w:val="auto"/>
          <w:vertAlign w:val="subscript"/>
          <w:lang w:val="en-US" w:eastAsia="zh-CN"/>
        </w:rPr>
        <w:t>5</w:t>
      </w:r>
      <w:r>
        <w:rPr>
          <w:rFonts w:hint="eastAsia"/>
          <w:color w:val="auto"/>
          <w:lang w:val="en-US" w:eastAsia="zh-CN"/>
        </w:rPr>
        <w:t>和除酸雾。在文氏管喉部高速的气流与吸入的酸雾相互撞击，并进行剧烈的传质传热过程，直径较大的雾粒成为微小酸雾的凝聚中心，凝聚成更大的液相粒子，循环吸收生产磷酸，通过控制循环次数来控制磷酸浓度，目前本项目主要产品为多聚磷酸。</w:t>
      </w:r>
    </w:p>
    <w:p>
      <w:pPr>
        <w:bidi w:val="0"/>
        <w:ind w:left="0" w:leftChars="0" w:firstLine="0" w:firstLineChars="0"/>
        <w:jc w:val="center"/>
        <w:rPr>
          <w:rFonts w:hint="eastAsia"/>
          <w:color w:val="auto"/>
        </w:rPr>
      </w:pP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HYPERLINK "H:\\新报告\\开阳县\\开阳磷化工公司\\2017年\\开阳川东化工 会后修改\\AppData\\Roaming\\Microsoft\\Word\\流程图\\焦磷酸钠生产工艺流程图.sdr" </w:instrText>
      </w:r>
      <w:r>
        <w:rPr>
          <w:rFonts w:ascii="Times New Roman" w:hAnsi="Times New Roman" w:cs="Times New Roman"/>
          <w:color w:val="auto"/>
          <w:sz w:val="24"/>
        </w:rPr>
        <w:fldChar w:fldCharType="separate"/>
      </w:r>
      <w:r>
        <w:rPr>
          <w:rFonts w:ascii="Times New Roman" w:hAnsi="Times New Roman" w:cs="Times New Roman"/>
          <w:color w:val="auto"/>
        </w:rPr>
        <w:object>
          <v:shape id="_x0000_i1028" o:spt="75" type="#_x0000_t75" style="height:282.8pt;width:434.05pt;" o:button="t" o:ole="t" filled="f" o:preferrelative="t" stroked="f" coordsize="21600,21600">
            <v:path/>
            <v:fill on="f" focussize="0,0"/>
            <v:stroke on="f"/>
            <v:imagedata r:id="rId32" o:title=""/>
            <o:lock v:ext="edit" aspectratio="t"/>
            <w10:wrap type="none"/>
            <w10:anchorlock/>
          </v:shape>
          <o:OLEObject Type="Embed" ProgID="SmartDraw.2" ShapeID="_x0000_i1028" DrawAspect="Content" ObjectID="_1468075728" r:id="rId31">
            <o:LockedField>false</o:LockedField>
          </o:OLEObject>
        </w:object>
      </w:r>
      <w:r>
        <w:rPr>
          <w:rFonts w:ascii="Times New Roman" w:hAnsi="Times New Roman" w:cs="Times New Roman"/>
          <w:color w:val="auto"/>
        </w:rPr>
        <w:fldChar w:fldCharType="end"/>
      </w:r>
      <w:r>
        <w:rPr>
          <w:rFonts w:hint="eastAsia"/>
          <w:color w:val="auto"/>
        </w:rPr>
        <w:t>图4-</w:t>
      </w:r>
      <w:r>
        <w:rPr>
          <w:rFonts w:hint="eastAsia"/>
          <w:color w:val="auto"/>
          <w:lang w:val="en-US" w:eastAsia="zh-CN"/>
        </w:rPr>
        <w:t>8</w:t>
      </w:r>
      <w:r>
        <w:rPr>
          <w:rFonts w:hint="eastAsia"/>
          <w:color w:val="auto"/>
        </w:rPr>
        <w:t xml:space="preserve"> 聚磷酸生产工艺流程图</w:t>
      </w:r>
    </w:p>
    <w:p>
      <w:pPr>
        <w:bidi w:val="0"/>
        <w:rPr>
          <w:rFonts w:hint="eastAsia"/>
          <w:color w:val="auto"/>
          <w:lang w:val="en-US" w:eastAsia="zh-CN"/>
        </w:rPr>
      </w:pPr>
      <w:r>
        <w:rPr>
          <w:rFonts w:hint="eastAsia"/>
          <w:color w:val="auto"/>
        </w:rPr>
        <w:t>根据磷酸、磷酸一铵生产工艺，其主要用能设备包括破碎、浓缩、造粒、干燥等工序设备。</w:t>
      </w:r>
    </w:p>
    <w:p>
      <w:pPr>
        <w:rPr>
          <w:rFonts w:hint="eastAsia"/>
          <w:color w:val="auto"/>
          <w:lang w:val="en-US" w:eastAsia="zh-CN"/>
        </w:rPr>
      </w:pPr>
      <w:r>
        <w:rPr>
          <w:rFonts w:hint="eastAsia"/>
          <w:color w:val="auto"/>
          <w:lang w:val="en-US" w:eastAsia="zh-CN"/>
        </w:rPr>
        <w:t>2、其他化工（磷系化工除外）产业</w:t>
      </w:r>
    </w:p>
    <w:p>
      <w:pPr>
        <w:rPr>
          <w:rFonts w:hint="eastAsia"/>
          <w:color w:val="auto"/>
          <w:lang w:val="en-US" w:eastAsia="zh-CN"/>
        </w:rPr>
      </w:pPr>
      <w:r>
        <w:rPr>
          <w:rFonts w:hint="eastAsia"/>
          <w:color w:val="auto"/>
          <w:lang w:val="en-US" w:eastAsia="zh-CN"/>
        </w:rPr>
        <w:t>（1）基本情况</w:t>
      </w:r>
    </w:p>
    <w:p>
      <w:pPr>
        <w:rPr>
          <w:rFonts w:hint="eastAsia"/>
          <w:color w:val="auto"/>
          <w:lang w:val="en-US" w:eastAsia="zh-CN"/>
        </w:rPr>
      </w:pPr>
      <w:r>
        <w:rPr>
          <w:rFonts w:hint="eastAsia"/>
          <w:color w:val="auto"/>
          <w:lang w:val="en-US" w:eastAsia="zh-CN"/>
        </w:rPr>
        <w:t>开发区其他化工产业主要围绕磷系产业进行建设，主要产品包括煤化工合成氨、空气化工、水处理剂等产品。</w:t>
      </w:r>
    </w:p>
    <w:p>
      <w:pPr>
        <w:rPr>
          <w:rFonts w:hint="eastAsia"/>
          <w:color w:val="auto"/>
          <w:lang w:val="en-US" w:eastAsia="zh-CN"/>
        </w:rPr>
      </w:pPr>
      <w:r>
        <w:rPr>
          <w:rFonts w:hint="eastAsia"/>
          <w:color w:val="auto"/>
          <w:lang w:val="en-US" w:eastAsia="zh-CN"/>
        </w:rPr>
        <w:t>（2）典型工艺</w:t>
      </w:r>
    </w:p>
    <w:p>
      <w:pPr>
        <w:rPr>
          <w:rFonts w:hint="eastAsia"/>
          <w:color w:val="auto"/>
          <w:lang w:val="en-US" w:eastAsia="zh-CN"/>
        </w:rPr>
      </w:pPr>
      <w:r>
        <w:rPr>
          <w:rFonts w:hint="eastAsia"/>
          <w:color w:val="auto"/>
          <w:lang w:val="en-US" w:eastAsia="zh-CN"/>
        </w:rPr>
        <w:t>1）合成氨生产</w:t>
      </w:r>
    </w:p>
    <w:p>
      <w:pPr>
        <w:rPr>
          <w:rFonts w:hint="eastAsia"/>
          <w:color w:val="auto"/>
          <w:lang w:val="en-US" w:eastAsia="zh-CN"/>
        </w:rPr>
      </w:pPr>
      <w:r>
        <w:rPr>
          <w:rFonts w:hint="eastAsia"/>
          <w:color w:val="auto"/>
          <w:lang w:val="en-US" w:eastAsia="zh-CN"/>
        </w:rPr>
        <w:t>合成氨生产流程：原料煤经过研磨成煤粉，利用压差输送至气化炉和空分来的氧进行反应生成粗合成气，粗合成气进入变换系统，将合成气里的CO和水反应生成H</w:t>
      </w:r>
      <w:r>
        <w:rPr>
          <w:rFonts w:hint="eastAsia"/>
          <w:color w:val="auto"/>
          <w:vertAlign w:val="subscript"/>
          <w:lang w:val="en-US" w:eastAsia="zh-CN"/>
        </w:rPr>
        <w:t>2</w:t>
      </w:r>
      <w:r>
        <w:rPr>
          <w:rFonts w:hint="eastAsia"/>
          <w:color w:val="auto"/>
          <w:lang w:val="en-US" w:eastAsia="zh-CN"/>
        </w:rPr>
        <w:t>，再通过低温甲醇洗去除硫化氢和CO</w:t>
      </w:r>
      <w:r>
        <w:rPr>
          <w:rFonts w:hint="eastAsia"/>
          <w:color w:val="auto"/>
          <w:vertAlign w:val="subscript"/>
          <w:lang w:val="en-US" w:eastAsia="zh-CN"/>
        </w:rPr>
        <w:t>2</w:t>
      </w:r>
      <w:r>
        <w:rPr>
          <w:rFonts w:hint="eastAsia"/>
          <w:color w:val="auto"/>
          <w:lang w:val="en-US" w:eastAsia="zh-CN"/>
        </w:rPr>
        <w:t>，然后进入液氮洗配出合格的精制气送到合成工段，经过合成压缩机的压缩进入合成塔反应生成合格的液氨产品。其工艺流程如下图所示。</w:t>
      </w:r>
    </w:p>
    <w:p>
      <w:pPr>
        <w:rPr>
          <w:rFonts w:hint="eastAsia"/>
          <w:color w:val="auto"/>
          <w:lang w:val="en-US" w:eastAsia="zh-CN"/>
        </w:rPr>
      </w:pPr>
      <w:r>
        <w:rPr>
          <w:color w:val="auto"/>
        </w:rPr>
        <w:drawing>
          <wp:inline distT="0" distB="0" distL="114300" distR="114300">
            <wp:extent cx="5269865" cy="3512820"/>
            <wp:effectExtent l="0" t="0" r="3175"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a:stretch>
                      <a:fillRect/>
                    </a:stretch>
                  </pic:blipFill>
                  <pic:spPr>
                    <a:xfrm>
                      <a:off x="0" y="0"/>
                      <a:ext cx="5269865" cy="3512820"/>
                    </a:xfrm>
                    <a:prstGeom prst="rect">
                      <a:avLst/>
                    </a:prstGeom>
                    <a:noFill/>
                    <a:ln>
                      <a:noFill/>
                    </a:ln>
                  </pic:spPr>
                </pic:pic>
              </a:graphicData>
            </a:graphic>
          </wp:inline>
        </w:drawing>
      </w:r>
    </w:p>
    <w:p>
      <w:pPr>
        <w:jc w:val="center"/>
        <w:rPr>
          <w:rFonts w:hint="eastAsia"/>
          <w:color w:val="auto"/>
          <w:lang w:val="en-US" w:eastAsia="zh-CN"/>
        </w:rPr>
      </w:pPr>
      <w:r>
        <w:rPr>
          <w:rFonts w:hint="eastAsia"/>
          <w:color w:val="auto"/>
          <w:lang w:val="en-US" w:eastAsia="zh-CN"/>
        </w:rPr>
        <w:t>图4-9 合成氨生产工艺流程图</w:t>
      </w:r>
    </w:p>
    <w:p>
      <w:pPr>
        <w:rPr>
          <w:rFonts w:hint="eastAsia"/>
          <w:color w:val="auto"/>
          <w:lang w:val="en-US" w:eastAsia="zh-CN"/>
        </w:rPr>
      </w:pPr>
      <w:r>
        <w:rPr>
          <w:rFonts w:hint="eastAsia"/>
          <w:color w:val="auto"/>
          <w:lang w:val="en-US" w:eastAsia="zh-CN"/>
        </w:rPr>
        <w:t>合成氨生产为高耗能，主要用能设备包括汽化炉、锅炉、高压加热器及风机水泵等通用设备。</w:t>
      </w:r>
    </w:p>
    <w:p>
      <w:pPr>
        <w:rPr>
          <w:rFonts w:hint="eastAsia"/>
          <w:color w:val="auto"/>
          <w:lang w:val="en-US" w:eastAsia="zh-CN"/>
        </w:rPr>
      </w:pPr>
      <w:r>
        <w:rPr>
          <w:rFonts w:hint="eastAsia"/>
          <w:color w:val="auto"/>
          <w:lang w:val="en-US" w:eastAsia="zh-CN"/>
        </w:rPr>
        <w:t>2）空气化工</w:t>
      </w:r>
    </w:p>
    <w:p>
      <w:pPr>
        <w:rPr>
          <w:rFonts w:hint="eastAsia"/>
          <w:color w:val="auto"/>
          <w:lang w:val="en-US" w:eastAsia="zh-CN"/>
        </w:rPr>
      </w:pPr>
      <w:r>
        <w:rPr>
          <w:rFonts w:hint="eastAsia"/>
          <w:color w:val="auto"/>
          <w:lang w:val="en-US" w:eastAsia="zh-CN"/>
        </w:rPr>
        <w:t>空气化工采用低温精馏法分离空气，基本原理是利用空气中各种组份具有不同的挥发性，即在同一压力下各组份沸点的不同（标准状况下，氧的沸点是-182.96℃，氮的沸点是-195.8℃，氩的沸点是-185.7℃），进行多次精馏，从而达到分离各组份的目的。空分装置以空气为原料，经过过滤、压缩、预冷、纯化、增压、膨胀、精馏等工序，从而得到较为纯净的氧气（工业氧）、氮气(高纯氮)、液氧（工业氧）、液氩（高纯氩）、液氮（高纯氮）五种产品。其工艺流程如下图所示。</w:t>
      </w:r>
    </w:p>
    <w:p>
      <w:pPr>
        <w:ind w:left="0" w:leftChars="0" w:firstLine="0" w:firstLineChars="0"/>
        <w:rPr>
          <w:rFonts w:hint="eastAsia"/>
          <w:color w:val="auto"/>
          <w:lang w:val="en-US" w:eastAsia="zh-CN"/>
        </w:rPr>
      </w:pPr>
      <w:r>
        <w:rPr>
          <w:color w:val="auto"/>
        </w:rPr>
        <w:drawing>
          <wp:inline distT="0" distB="0" distL="114300" distR="114300">
            <wp:extent cx="5187315" cy="575119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a:stretch>
                      <a:fillRect/>
                    </a:stretch>
                  </pic:blipFill>
                  <pic:spPr>
                    <a:xfrm>
                      <a:off x="0" y="0"/>
                      <a:ext cx="5187315" cy="5751195"/>
                    </a:xfrm>
                    <a:prstGeom prst="rect">
                      <a:avLst/>
                    </a:prstGeom>
                    <a:noFill/>
                    <a:ln>
                      <a:noFill/>
                    </a:ln>
                  </pic:spPr>
                </pic:pic>
              </a:graphicData>
            </a:graphic>
          </wp:inline>
        </w:drawing>
      </w:r>
    </w:p>
    <w:p>
      <w:pPr>
        <w:jc w:val="center"/>
        <w:rPr>
          <w:rFonts w:hint="eastAsia"/>
          <w:color w:val="auto"/>
          <w:lang w:val="en-US" w:eastAsia="zh-CN"/>
        </w:rPr>
      </w:pPr>
      <w:r>
        <w:rPr>
          <w:rFonts w:hint="eastAsia"/>
          <w:color w:val="auto"/>
          <w:lang w:val="en-US" w:eastAsia="zh-CN"/>
        </w:rPr>
        <w:t>图4-10 空气化工生产工艺流程图</w:t>
      </w:r>
    </w:p>
    <w:p>
      <w:pPr>
        <w:rPr>
          <w:rFonts w:hint="eastAsia"/>
          <w:color w:val="auto"/>
          <w:lang w:val="en-US" w:eastAsia="zh-CN"/>
        </w:rPr>
      </w:pPr>
      <w:r>
        <w:rPr>
          <w:rFonts w:hint="eastAsia"/>
          <w:color w:val="auto"/>
          <w:lang w:val="en-US" w:eastAsia="zh-CN"/>
        </w:rPr>
        <w:t>空气化工主要用能设备为空气增压机、气体膨胀机等大功率设备。</w:t>
      </w:r>
    </w:p>
    <w:p>
      <w:pPr>
        <w:rPr>
          <w:rFonts w:hint="eastAsia"/>
          <w:color w:val="auto"/>
          <w:lang w:val="en-US" w:eastAsia="zh-CN"/>
        </w:rPr>
      </w:pPr>
      <w:r>
        <w:rPr>
          <w:rFonts w:hint="eastAsia"/>
          <w:color w:val="auto"/>
          <w:lang w:val="en-US" w:eastAsia="zh-CN"/>
        </w:rPr>
        <w:t>3）水处理剂生产</w:t>
      </w:r>
    </w:p>
    <w:p>
      <w:pPr>
        <w:rPr>
          <w:rFonts w:hint="eastAsia"/>
          <w:color w:val="auto"/>
          <w:lang w:val="en-US" w:eastAsia="zh-CN"/>
        </w:rPr>
      </w:pPr>
      <w:r>
        <w:rPr>
          <w:rFonts w:hint="eastAsia"/>
          <w:color w:val="auto"/>
          <w:lang w:val="en-US" w:eastAsia="zh-CN"/>
        </w:rPr>
        <w:t>水处理剂生产工艺主要是以适应水处理行业的工艺，采用多核和共聚的方法生产复合型水处理药剂。工艺技术涉及专利和专有技术。</w:t>
      </w:r>
    </w:p>
    <w:p>
      <w:pPr>
        <w:rPr>
          <w:rFonts w:hint="eastAsia"/>
          <w:color w:val="auto"/>
          <w:lang w:val="en-US" w:eastAsia="zh-CN"/>
        </w:rPr>
      </w:pPr>
      <w:r>
        <w:rPr>
          <w:rFonts w:hint="eastAsia"/>
          <w:color w:val="auto"/>
          <w:lang w:val="en-US" w:eastAsia="zh-CN"/>
        </w:rPr>
        <w:t>3、建材产业</w:t>
      </w:r>
    </w:p>
    <w:p>
      <w:pPr>
        <w:rPr>
          <w:rFonts w:hint="eastAsia"/>
          <w:color w:val="auto"/>
          <w:lang w:val="en-US" w:eastAsia="zh-CN"/>
        </w:rPr>
      </w:pPr>
      <w:r>
        <w:rPr>
          <w:rFonts w:hint="eastAsia"/>
          <w:color w:val="auto"/>
          <w:lang w:val="en-US" w:eastAsia="zh-CN"/>
        </w:rPr>
        <w:t>（1）基本情况</w:t>
      </w:r>
    </w:p>
    <w:p>
      <w:pPr>
        <w:rPr>
          <w:rFonts w:hint="eastAsia"/>
          <w:color w:val="auto"/>
          <w:lang w:val="en-US" w:eastAsia="zh-CN"/>
        </w:rPr>
      </w:pPr>
      <w:r>
        <w:rPr>
          <w:rFonts w:hint="eastAsia"/>
          <w:color w:val="auto"/>
          <w:lang w:val="en-US" w:eastAsia="zh-CN"/>
        </w:rPr>
        <w:t>开发区建材产业一方面是磷系副产品（黄磷渣）生产磷渣微粉、磷渣水泥，磷石膏生产水泥、磷石膏建材等。另一方面是常规的水泥生产、水泥制品加工等。</w:t>
      </w:r>
    </w:p>
    <w:p>
      <w:pPr>
        <w:rPr>
          <w:rFonts w:hint="eastAsia"/>
          <w:color w:val="auto"/>
          <w:lang w:val="en-US" w:eastAsia="zh-CN"/>
        </w:rPr>
      </w:pPr>
      <w:r>
        <w:rPr>
          <w:rFonts w:hint="eastAsia"/>
          <w:color w:val="auto"/>
          <w:lang w:val="en-US" w:eastAsia="zh-CN"/>
        </w:rPr>
        <w:t>（2）典型工艺</w:t>
      </w:r>
    </w:p>
    <w:p>
      <w:pPr>
        <w:rPr>
          <w:rFonts w:hint="eastAsia"/>
          <w:color w:val="auto"/>
          <w:lang w:val="en-US" w:eastAsia="zh-CN"/>
        </w:rPr>
      </w:pPr>
      <w:r>
        <w:rPr>
          <w:rFonts w:hint="eastAsia"/>
          <w:color w:val="auto"/>
          <w:lang w:val="en-US" w:eastAsia="zh-CN"/>
        </w:rPr>
        <w:t>1）水泥生产</w:t>
      </w:r>
    </w:p>
    <w:p>
      <w:pPr>
        <w:rPr>
          <w:rFonts w:hint="eastAsia"/>
          <w:color w:val="auto"/>
          <w:lang w:val="en-US" w:eastAsia="zh-CN"/>
        </w:rPr>
      </w:pPr>
      <w:r>
        <w:rPr>
          <w:rFonts w:hint="eastAsia"/>
          <w:color w:val="auto"/>
          <w:lang w:val="en-US" w:eastAsia="zh-CN"/>
        </w:rPr>
        <w:t>水泥厂石灰石破碎在矿上进行，经皮带输送至厂区石灰石预均化堆场。石灰石预均化堆棚进行预均化堆场，堆料机悬臂、环线连续布料、取料机桥式、断面取料、中心卸料。进过均化后的石灰石由胶带输送机、电动三通分别送至原料配料站及脱硫石灰石粉制备系统。页岩由汽车运输进厂，喂入受料斗，经胶带输送机送入原料调配站页岩库储存待用。砂岩、铁矿石由汽车运输进厂，分别喂入受料斗，有板式喂料机送入破碎机，经破碎机破碎后由胶带输送机送入原料调配站砂岩库、铁矿石库储存待用。粉煤灰由粉煤灰散装车运入厂内，泵入原料调配站粉煤灰储存待用。</w:t>
      </w:r>
    </w:p>
    <w:p>
      <w:pPr>
        <w:rPr>
          <w:rFonts w:hint="eastAsia"/>
          <w:color w:val="auto"/>
          <w:lang w:val="en-US" w:eastAsia="zh-CN"/>
        </w:rPr>
      </w:pPr>
      <w:r>
        <w:rPr>
          <w:rFonts w:hint="eastAsia"/>
          <w:color w:val="auto"/>
          <w:lang w:val="en-US" w:eastAsia="zh-CN"/>
        </w:rPr>
        <w:t>原料配料站设石灰石、粉煤灰、页岩、砂岩、铁矿石库一个。各库库底设定量给料机计量给料。五种原料按照设定的配比进行配料，配合料经胶带输送机、磨机入口锁风阀喂入原料磨中。在入磨胶带机上设有电磁除铁器，以去除原料中可能存在的铁件，在胶带输送机头部设有金属探测器，监测原料中是否残存铁件，以确保辊式磨免受金属构件的损坏。原料粉磨采用辊式磨系统。按照质量控制要求配好的原料，经带式输送机送入辊式磨内粉磨。利用预热器及出窑余热发电系统SP炉的废气作为生料的烘干热源。出磨气体夹带的生料经细粉分离器分离后与增湿塔和袋收尘器收集的粉尘混合，经胶带输送机、斗式提升机送至生料均化库。出分离器的废气经袋收尘器净化后，经排气筒排放。原料磨停开期间，窑尾预热器排出的废气经SP炉后经窑尾高温风机全部通过增湿塔增湿降温后，经袋式除尘器处理后排放。期间增湿塔及袋收尘器收下的窑灰经拉链机、斗式提升机进入生料均化库，也可通过窑斗式提升机直接入窑。</w:t>
      </w:r>
    </w:p>
    <w:p>
      <w:pPr>
        <w:rPr>
          <w:rFonts w:hint="eastAsia"/>
          <w:color w:val="auto"/>
          <w:lang w:val="en-US" w:eastAsia="zh-CN"/>
        </w:rPr>
      </w:pPr>
      <w:r>
        <w:rPr>
          <w:rFonts w:hint="eastAsia"/>
          <w:color w:val="auto"/>
          <w:lang w:val="en-US" w:eastAsia="zh-CN"/>
        </w:rPr>
        <w:t>原料粉磨系统的合格生料经库顶生料分配器多点进库。库底的环形区设有开式斜槽，由罗茨风机供气，供气系统按程序对库底环形区的不同区域轮流充气是生料稳定熊环形区卸入生料入窑喂料系统。</w:t>
      </w:r>
    </w:p>
    <w:p>
      <w:pPr>
        <w:rPr>
          <w:rFonts w:hint="eastAsia"/>
          <w:color w:val="auto"/>
          <w:lang w:val="en-US" w:eastAsia="zh-CN"/>
        </w:rPr>
      </w:pPr>
      <w:r>
        <w:rPr>
          <w:rFonts w:hint="eastAsia"/>
          <w:color w:val="auto"/>
          <w:lang w:val="en-US" w:eastAsia="zh-CN"/>
        </w:rPr>
        <w:t>烧成系统由双系列五级旋风预热器、分解炉、回转窑和稳流行进篦式冷却机组成。喂入预热器的生料经预热器和管道逐级增温、预热、干燥，在分解炉中进行分解，然后喂入窑内煅烧；出窑高温熟料在篦式冷却机内得到冷却，大块熟料由破碎机破碎后，由熟料槽式输送机送入熟料库储存。</w:t>
      </w:r>
    </w:p>
    <w:p>
      <w:pPr>
        <w:rPr>
          <w:rFonts w:hint="eastAsia"/>
          <w:color w:val="auto"/>
          <w:lang w:val="en-US" w:eastAsia="zh-CN"/>
        </w:rPr>
      </w:pPr>
      <w:r>
        <w:rPr>
          <w:rFonts w:hint="eastAsia"/>
          <w:color w:val="auto"/>
          <w:lang w:val="en-US" w:eastAsia="zh-CN"/>
        </w:rPr>
        <w:t>出篦式冷却机的废气一部分送入煤粉制备系统作为原煤的烘干热源；另一部分送入窑头余热发电系统AQC炉，在通过布袋收尘器净化后经排气筒排放。为考虑企业生产中热水泥需要，熟料储存采用的圆库储存，出库熟料经胶带输送机送入水泥调配站熟料库储存待用。原煤由汽车运输进厂，卸入卸车坑，经板式喂料机喂入破碎机粉碎。破碎后的原煤经胶带输送机送至预均化堆棚，均化合格后由胶带输送机送入煤粉制备系统原煤仓待用。原煤由原煤仓下定量给料机喂入煤磨，在磨内烘干兼粉磨，出磨煤粉随气流送入动态选粉机分选，分离出的粗粉经螺旋输送机送回窑头进磨再粉磨，细粉随气流经袋式除尘器收集由螺旋输送机分别送入带荷重传感器额煤粉仓；含尘废气经净化后排放。煤粉仓下设有煤粉计量喂料称，煤粉经计量后送至窑头燃烧器及窑尾分解炉燃烧器。电厂脱硫石膏由散装车运入厂内，由行车直接运至脱硫石膏库储存使用。水泥调配站熟料、石膏、石灰石库各一个，配料库底设有电子皮带秤。根据生产水泥的品种，各种物料按照预定配比卸出库，由胶带输送机送至水泥粉磨系统。</w:t>
      </w:r>
    </w:p>
    <w:p>
      <w:pPr>
        <w:rPr>
          <w:rFonts w:hint="eastAsia"/>
          <w:color w:val="auto"/>
          <w:lang w:val="en-US" w:eastAsia="zh-CN"/>
        </w:rPr>
      </w:pPr>
      <w:r>
        <w:rPr>
          <w:rFonts w:hint="eastAsia"/>
          <w:color w:val="auto"/>
          <w:lang w:val="en-US" w:eastAsia="zh-CN"/>
        </w:rPr>
        <w:t>水泥粉磨系统采用两套由辊压机和管磨组成的预粉碎水泥粉磨系统。出辊压机物料经斗式提升机送入V型选粉机分选，分选的半成品由旋风收尘器收集喂入水泥磨粉磨，分选的粗粉返回辊压机再粉碎。出磨水泥净斗式提升机和空气输送斜槽送入高效选粉机分选，成品经高效袋式除尘器收集，有空气斜槽、提升送入水泥库，粗粉返回水泥磨重新粉磨。出磨废气经高效布袋除尘器处理后，经排气筒排放。</w:t>
      </w:r>
    </w:p>
    <w:p>
      <w:pPr>
        <w:rPr>
          <w:rFonts w:hint="eastAsia"/>
          <w:color w:val="auto"/>
          <w:lang w:val="en-US" w:eastAsia="zh-CN"/>
        </w:rPr>
      </w:pPr>
      <w:r>
        <w:rPr>
          <w:rFonts w:hint="eastAsia"/>
          <w:color w:val="auto"/>
          <w:lang w:val="en-US" w:eastAsia="zh-CN"/>
        </w:rPr>
        <w:t>考虑到生产品种的多样性，采用6个Φ18m水泥库储存水泥。库中水泥净流量控制阀卸出，由空气输送斜槽及斗式提升机组成的输送系统送至水泥包装车间和水泥散装库。包装车间设2台八咀回转式包装机，包装后的袋装水泥由胶带输送机送至移动式装车机装车，或送至成品库堆存后发运。水泥散装库设有散装装车系统，供散装水泥装车、发运。</w:t>
      </w:r>
    </w:p>
    <w:p>
      <w:pPr>
        <w:ind w:left="0" w:leftChars="0" w:firstLine="0" w:firstLineChars="0"/>
        <w:rPr>
          <w:rFonts w:hint="eastAsia"/>
          <w:color w:val="auto"/>
          <w:lang w:val="en-US" w:eastAsia="zh-CN"/>
        </w:rPr>
      </w:pPr>
      <w:r>
        <w:rPr>
          <w:rFonts w:ascii="Times New Roman" w:hAnsi="Times New Roman" w:cs="Times New Roman"/>
          <w:b/>
          <w:color w:val="auto"/>
          <w:szCs w:val="21"/>
        </w:rPr>
        <w:drawing>
          <wp:inline distT="0" distB="0" distL="114300" distR="114300">
            <wp:extent cx="5119370" cy="6743065"/>
            <wp:effectExtent l="0" t="0" r="1270" b="8255"/>
            <wp:docPr id="5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7"/>
                    <pic:cNvPicPr>
                      <a:picLocks noChangeAspect="1" noChangeArrowheads="1"/>
                    </pic:cNvPicPr>
                  </pic:nvPicPr>
                  <pic:blipFill>
                    <a:blip r:embed="rId35" cstate="print"/>
                    <a:srcRect b="1765"/>
                    <a:stretch>
                      <a:fillRect/>
                    </a:stretch>
                  </pic:blipFill>
                  <pic:spPr>
                    <a:xfrm>
                      <a:off x="0" y="0"/>
                      <a:ext cx="5119370" cy="6743065"/>
                    </a:xfrm>
                    <a:prstGeom prst="rect">
                      <a:avLst/>
                    </a:prstGeom>
                    <a:noFill/>
                    <a:ln w="9525">
                      <a:noFill/>
                      <a:miter lim="800000"/>
                      <a:headEnd/>
                      <a:tailEnd/>
                    </a:ln>
                  </pic:spPr>
                </pic:pic>
              </a:graphicData>
            </a:graphic>
          </wp:inline>
        </w:drawing>
      </w:r>
    </w:p>
    <w:p>
      <w:pPr>
        <w:jc w:val="center"/>
        <w:rPr>
          <w:rFonts w:hint="eastAsia"/>
          <w:color w:val="auto"/>
          <w:lang w:val="en-US" w:eastAsia="zh-CN"/>
        </w:rPr>
      </w:pPr>
      <w:r>
        <w:rPr>
          <w:rFonts w:hint="eastAsia"/>
          <w:color w:val="auto"/>
          <w:lang w:val="en-US" w:eastAsia="zh-CN"/>
        </w:rPr>
        <w:t>图4-11 水泥生产工艺流程图</w:t>
      </w:r>
    </w:p>
    <w:p>
      <w:pPr>
        <w:rPr>
          <w:rFonts w:hint="eastAsia"/>
          <w:color w:val="auto"/>
          <w:lang w:val="en-US" w:eastAsia="zh-CN"/>
        </w:rPr>
      </w:pPr>
    </w:p>
    <w:p>
      <w:pPr>
        <w:rPr>
          <w:rFonts w:hint="eastAsia"/>
          <w:color w:val="auto"/>
          <w:lang w:val="en-US" w:eastAsia="zh-CN"/>
        </w:rPr>
      </w:pPr>
      <w:r>
        <w:rPr>
          <w:rFonts w:hint="eastAsia"/>
          <w:color w:val="auto"/>
          <w:lang w:val="en-US" w:eastAsia="zh-CN"/>
        </w:rPr>
        <w:t>2）商品混凝土</w:t>
      </w:r>
    </w:p>
    <w:p>
      <w:pPr>
        <w:rPr>
          <w:rFonts w:hint="eastAsia"/>
          <w:color w:val="auto"/>
          <w:lang w:val="en-US" w:eastAsia="zh-CN"/>
        </w:rPr>
      </w:pPr>
      <w:r>
        <w:rPr>
          <w:rFonts w:hint="eastAsia"/>
          <w:color w:val="auto"/>
          <w:lang w:val="en-US" w:eastAsia="zh-CN"/>
        </w:rPr>
        <w:t>商品混凝土主要工艺流程包括：原材料储备→配料→自控计算→投料→搅拌→出料→运输→泵送。</w:t>
      </w:r>
    </w:p>
    <w:p>
      <w:pPr>
        <w:rPr>
          <w:rFonts w:hint="eastAsia"/>
          <w:color w:val="auto"/>
          <w:lang w:val="en-US" w:eastAsia="zh-CN"/>
        </w:rPr>
      </w:pPr>
      <w:r>
        <w:rPr>
          <w:rFonts w:hint="eastAsia"/>
          <w:color w:val="auto"/>
          <w:lang w:val="en-US" w:eastAsia="zh-CN"/>
        </w:rPr>
        <w:t>①骨料称量</w:t>
      </w:r>
    </w:p>
    <w:p>
      <w:pPr>
        <w:rPr>
          <w:rFonts w:hint="eastAsia"/>
          <w:color w:val="auto"/>
          <w:lang w:val="en-US" w:eastAsia="zh-CN"/>
        </w:rPr>
      </w:pPr>
      <w:r>
        <w:rPr>
          <w:rFonts w:hint="eastAsia"/>
          <w:color w:val="auto"/>
          <w:lang w:val="en-US" w:eastAsia="zh-CN"/>
        </w:rPr>
        <w:t xml:space="preserve">所需骨料包括砂石料，由汽车运至厂区（要求混凝土所需骨料需符合使用标准，或经过洗石机洗石达标的骨料），再分别用装载机装入密闭骨料仓，在骨料仓下方均接一个计量称，分别对各种骨料按质量配比称量，称好的骨料由皮带输送机（半封闭）输送到骨料过渡仓，由过渡仓开门落至混凝土搅拌机内搅拌。 </w:t>
      </w:r>
    </w:p>
    <w:p>
      <w:pPr>
        <w:rPr>
          <w:rFonts w:hint="eastAsia"/>
          <w:color w:val="auto"/>
          <w:lang w:val="en-US" w:eastAsia="zh-CN"/>
        </w:rPr>
      </w:pPr>
      <w:r>
        <w:rPr>
          <w:rFonts w:hint="eastAsia"/>
          <w:color w:val="auto"/>
          <w:lang w:val="en-US" w:eastAsia="zh-CN"/>
        </w:rPr>
        <w:t>②粉料称量（水泥、粉煤灰等）</w:t>
      </w:r>
    </w:p>
    <w:p>
      <w:pPr>
        <w:rPr>
          <w:rFonts w:hint="eastAsia"/>
          <w:color w:val="auto"/>
          <w:lang w:val="en-US" w:eastAsia="zh-CN"/>
        </w:rPr>
      </w:pPr>
      <w:r>
        <w:rPr>
          <w:rFonts w:hint="eastAsia"/>
          <w:color w:val="auto"/>
          <w:lang w:val="en-US" w:eastAsia="zh-CN"/>
        </w:rPr>
        <w:t xml:space="preserve">所需的粉料由密封罐车运至厂区，再由罐车或其 它输送装置通过压缩空气泵打入立式粉料仓，开启蝶阀，粉料落入螺旋输送机，再由螺旋输送机输送到称量斗称量，称量按骨料的配比误差进行扣称，称好的水泥由水泥称量斗下的气缸开启蝶阀滑入混凝土搅拌机搅拌。  </w:t>
      </w:r>
    </w:p>
    <w:p>
      <w:pPr>
        <w:rPr>
          <w:rFonts w:hint="eastAsia"/>
          <w:color w:val="auto"/>
          <w:lang w:val="en-US" w:eastAsia="zh-CN"/>
        </w:rPr>
      </w:pPr>
      <w:r>
        <w:rPr>
          <w:rFonts w:hint="eastAsia"/>
          <w:color w:val="auto"/>
          <w:lang w:val="en-US" w:eastAsia="zh-CN"/>
        </w:rPr>
        <w:t>③水称量</w:t>
      </w:r>
    </w:p>
    <w:p>
      <w:pPr>
        <w:rPr>
          <w:rFonts w:hint="eastAsia"/>
          <w:color w:val="auto"/>
          <w:lang w:val="en-US" w:eastAsia="zh-CN"/>
        </w:rPr>
      </w:pPr>
      <w:r>
        <w:rPr>
          <w:rFonts w:hint="eastAsia"/>
          <w:color w:val="auto"/>
          <w:lang w:val="en-US" w:eastAsia="zh-CN"/>
        </w:rPr>
        <w:t xml:space="preserve">所需的水由水泵把水池的水抽入称量箱称量，称好的水由增压泵抽出经喷水器喷入搅拌机。    </w:t>
      </w:r>
    </w:p>
    <w:p>
      <w:pPr>
        <w:rPr>
          <w:rFonts w:hint="eastAsia"/>
          <w:color w:val="auto"/>
          <w:lang w:val="en-US" w:eastAsia="zh-CN"/>
        </w:rPr>
      </w:pPr>
      <w:r>
        <w:rPr>
          <w:rFonts w:hint="eastAsia"/>
          <w:color w:val="auto"/>
          <w:lang w:val="en-US" w:eastAsia="zh-CN"/>
        </w:rPr>
        <w:t>④外加剂称量</w:t>
      </w:r>
    </w:p>
    <w:p>
      <w:pPr>
        <w:rPr>
          <w:rFonts w:hint="eastAsia"/>
          <w:color w:val="auto"/>
          <w:lang w:val="en-US" w:eastAsia="zh-CN"/>
        </w:rPr>
      </w:pPr>
      <w:r>
        <w:rPr>
          <w:rFonts w:hint="eastAsia"/>
          <w:color w:val="auto"/>
          <w:lang w:val="en-US" w:eastAsia="zh-CN"/>
        </w:rPr>
        <w:t xml:space="preserve">所需的添加剂由自吸泵从添加剂箱内抽至称量箱称量，称好的 添加剂投入水箱经喷水器喷入混凝土搅拌机。  </w:t>
      </w:r>
    </w:p>
    <w:p>
      <w:pPr>
        <w:rPr>
          <w:rFonts w:hint="eastAsia"/>
          <w:color w:val="auto"/>
          <w:lang w:val="en-US" w:eastAsia="zh-CN"/>
        </w:rPr>
      </w:pPr>
      <w:r>
        <w:rPr>
          <w:rFonts w:hint="eastAsia"/>
          <w:color w:val="auto"/>
          <w:lang w:val="en-US" w:eastAsia="zh-CN"/>
        </w:rPr>
        <w:t>⑤搅拌卸料输送</w:t>
      </w:r>
    </w:p>
    <w:p>
      <w:pPr>
        <w:rPr>
          <w:rFonts w:hint="eastAsia"/>
          <w:color w:val="auto"/>
          <w:lang w:val="en-US" w:eastAsia="zh-CN"/>
        </w:rPr>
      </w:pPr>
      <w:r>
        <w:rPr>
          <w:rFonts w:hint="eastAsia"/>
          <w:color w:val="auto"/>
          <w:lang w:val="en-US" w:eastAsia="zh-CN"/>
        </w:rPr>
        <w:t>混凝土搅拌站的搅拌主机进行搅拌：骨料、粉料、水及外加剂等是按照设定的时间投入混凝土搅拌机的，进入混凝土搅拌机的物料在相互反转的两根搅拌轴上的双道螺旋叶片的搅拌下，使物料产生挤压， 磨擦、剪切、对流，从而进行剧烈的强制掺合，搅拌时间到时，由搅拌机开门装置的气缸将门打开，由叶片将已搅拌好的混凝土推到等待在混凝土搅拌机下的运输车（在进入运输车之前先取一部分搅拌好的混凝土进行抽测试验，检验是否满足要求），合格后全部推出后关门进入下一个搅拌循环，成品料由混凝土罐车运往施工现场。</w:t>
      </w:r>
    </w:p>
    <w:p>
      <w:pPr>
        <w:ind w:left="0" w:leftChars="0" w:firstLine="0" w:firstLineChars="0"/>
        <w:rPr>
          <w:rFonts w:hint="eastAsia"/>
          <w:color w:val="auto"/>
          <w:lang w:val="en-US" w:eastAsia="zh-CN"/>
        </w:rPr>
      </w:pPr>
      <w:r>
        <w:rPr>
          <w:rFonts w:hint="default" w:ascii="Times New Roman" w:hAnsi="Times New Roman" w:eastAsia="宋体" w:cs="Times New Roman"/>
          <w:color w:val="auto"/>
          <w:sz w:val="28"/>
          <w:szCs w:val="28"/>
          <w:lang w:val="en-US" w:eastAsia="zh-CN"/>
        </w:rPr>
        <w:drawing>
          <wp:inline distT="0" distB="0" distL="114300" distR="114300">
            <wp:extent cx="5154295" cy="4099560"/>
            <wp:effectExtent l="0" t="0" r="1206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cstate="print"/>
                    <a:stretch>
                      <a:fillRect/>
                    </a:stretch>
                  </pic:blipFill>
                  <pic:spPr>
                    <a:xfrm>
                      <a:off x="0" y="0"/>
                      <a:ext cx="5154295" cy="4099560"/>
                    </a:xfrm>
                    <a:prstGeom prst="rect">
                      <a:avLst/>
                    </a:prstGeom>
                    <a:noFill/>
                    <a:ln w="9525">
                      <a:noFill/>
                    </a:ln>
                  </pic:spPr>
                </pic:pic>
              </a:graphicData>
            </a:graphic>
          </wp:inline>
        </w:drawing>
      </w:r>
    </w:p>
    <w:p>
      <w:pPr>
        <w:jc w:val="center"/>
        <w:rPr>
          <w:rFonts w:hint="eastAsia"/>
          <w:color w:val="auto"/>
          <w:lang w:val="en-US" w:eastAsia="zh-CN"/>
        </w:rPr>
      </w:pPr>
      <w:r>
        <w:rPr>
          <w:rFonts w:hint="eastAsia"/>
          <w:color w:val="auto"/>
          <w:lang w:val="en-US" w:eastAsia="zh-CN"/>
        </w:rPr>
        <w:t>图4-12 商品混凝土生产工艺流程图</w:t>
      </w:r>
    </w:p>
    <w:p>
      <w:pPr>
        <w:rPr>
          <w:rFonts w:hint="eastAsia"/>
          <w:color w:val="auto"/>
          <w:lang w:val="en-US" w:eastAsia="zh-CN"/>
        </w:rPr>
      </w:pPr>
      <w:r>
        <w:rPr>
          <w:rFonts w:hint="eastAsia"/>
          <w:color w:val="auto"/>
          <w:lang w:val="en-US" w:eastAsia="zh-CN"/>
        </w:rPr>
        <w:t>4、食品药品制造产业</w:t>
      </w:r>
    </w:p>
    <w:p>
      <w:pPr>
        <w:rPr>
          <w:rFonts w:hint="eastAsia"/>
          <w:color w:val="auto"/>
          <w:lang w:val="en-US" w:eastAsia="zh-CN"/>
        </w:rPr>
      </w:pPr>
      <w:r>
        <w:rPr>
          <w:rFonts w:hint="eastAsia"/>
          <w:color w:val="auto"/>
          <w:lang w:val="en-US" w:eastAsia="zh-CN"/>
        </w:rPr>
        <w:t>（1）基本情况</w:t>
      </w:r>
    </w:p>
    <w:p>
      <w:pPr>
        <w:rPr>
          <w:rFonts w:hint="eastAsia"/>
          <w:color w:val="auto"/>
          <w:lang w:val="en-US" w:eastAsia="zh-CN"/>
        </w:rPr>
      </w:pPr>
      <w:r>
        <w:rPr>
          <w:rFonts w:hint="eastAsia"/>
          <w:color w:val="auto"/>
          <w:lang w:val="en-US" w:eastAsia="zh-CN"/>
        </w:rPr>
        <w:t>开发区食品药品制造产业主要涵盖乳制品、茶叶制品、水果制品、饲料生产、熟食品加工、中成药制品等产业项目，结合开发区产业发展方向及拟入驻项目情况，主要考虑从乳制品、茶叶制品、水果制品、中成药制品生产对其用能情况进行分析。</w:t>
      </w:r>
    </w:p>
    <w:p>
      <w:pPr>
        <w:rPr>
          <w:rFonts w:hint="eastAsia"/>
          <w:color w:val="auto"/>
          <w:lang w:val="en-US" w:eastAsia="zh-CN"/>
        </w:rPr>
      </w:pPr>
      <w:r>
        <w:rPr>
          <w:rFonts w:hint="eastAsia"/>
          <w:color w:val="auto"/>
          <w:lang w:val="en-US" w:eastAsia="zh-CN"/>
        </w:rPr>
        <w:t>（2）典型工艺</w:t>
      </w:r>
    </w:p>
    <w:p>
      <w:pPr>
        <w:rPr>
          <w:rFonts w:hint="eastAsia"/>
          <w:color w:val="auto"/>
          <w:lang w:val="en-US" w:eastAsia="zh-CN"/>
        </w:rPr>
      </w:pPr>
      <w:r>
        <w:rPr>
          <w:rFonts w:hint="eastAsia"/>
          <w:color w:val="auto"/>
          <w:lang w:val="en-US" w:eastAsia="zh-CN"/>
        </w:rPr>
        <w:t>1）乳制品生产</w:t>
      </w:r>
    </w:p>
    <w:p>
      <w:pPr>
        <w:rPr>
          <w:rFonts w:hint="eastAsia"/>
          <w:color w:val="auto"/>
          <w:lang w:val="en-US" w:eastAsia="zh-CN"/>
        </w:rPr>
      </w:pPr>
      <w:r>
        <w:rPr>
          <w:rFonts w:hint="eastAsia"/>
          <w:color w:val="auto"/>
          <w:lang w:val="en-US" w:eastAsia="zh-CN"/>
        </w:rPr>
        <w:t>开发区台产园有南方乳业乳制品生产项目，其工艺流程主要包括：原奶检验→计量→收奶→过滤→缓存→分离→冷却→贮存→预热→闪蒸→预杀菌→冷却→贮存→配料→贮存→预热→脱气→均质→超高温杀菌→冷却→灌装→装箱→保温实验→出厂。</w:t>
      </w:r>
    </w:p>
    <w:p>
      <w:pPr>
        <w:rPr>
          <w:rFonts w:hint="eastAsia"/>
          <w:color w:val="auto"/>
          <w:lang w:val="en-US" w:eastAsia="zh-CN"/>
        </w:rPr>
      </w:pPr>
      <w:r>
        <w:rPr>
          <w:rFonts w:hint="eastAsia"/>
          <w:color w:val="auto"/>
          <w:lang w:val="en-US" w:eastAsia="zh-CN"/>
        </w:rPr>
        <w:t>2）茶叶、水果制品生产</w:t>
      </w:r>
    </w:p>
    <w:p>
      <w:pPr>
        <w:rPr>
          <w:rFonts w:hint="eastAsia"/>
          <w:color w:val="auto"/>
          <w:lang w:val="en-US" w:eastAsia="zh-CN"/>
        </w:rPr>
      </w:pPr>
      <w:r>
        <w:rPr>
          <w:rFonts w:hint="eastAsia"/>
          <w:color w:val="auto"/>
          <w:lang w:val="en-US" w:eastAsia="zh-CN"/>
        </w:rPr>
        <w:t>新鲜原材料收购→烘干→整理→入库→领用→包装→出库。</w:t>
      </w:r>
    </w:p>
    <w:p>
      <w:pPr>
        <w:rPr>
          <w:rFonts w:hint="eastAsia"/>
          <w:color w:val="auto"/>
          <w:lang w:val="en-US" w:eastAsia="zh-CN"/>
        </w:rPr>
      </w:pPr>
      <w:r>
        <w:rPr>
          <w:rFonts w:hint="eastAsia"/>
          <w:color w:val="auto"/>
          <w:lang w:val="en-US" w:eastAsia="zh-CN"/>
        </w:rPr>
        <w:t>5、主要生产用能系统节能措施</w:t>
      </w:r>
    </w:p>
    <w:p>
      <w:pPr>
        <w:rPr>
          <w:rFonts w:hint="eastAsia"/>
          <w:color w:val="auto"/>
          <w:lang w:val="en-US" w:eastAsia="zh-CN"/>
        </w:rPr>
      </w:pPr>
      <w:r>
        <w:rPr>
          <w:rFonts w:hint="eastAsia"/>
          <w:color w:val="auto"/>
          <w:lang w:val="en-US" w:eastAsia="zh-CN"/>
        </w:rPr>
        <w:t>（1）园区磷系产业应充分发展多联产，提高资源利用率，形成“三废”循环利用；</w:t>
      </w:r>
    </w:p>
    <w:p>
      <w:pPr>
        <w:rPr>
          <w:rFonts w:hint="eastAsia"/>
          <w:color w:val="auto"/>
          <w:lang w:val="en-US" w:eastAsia="zh-CN"/>
        </w:rPr>
      </w:pPr>
      <w:r>
        <w:rPr>
          <w:rFonts w:hint="eastAsia"/>
          <w:color w:val="auto"/>
          <w:lang w:val="en-US" w:eastAsia="zh-CN"/>
        </w:rPr>
        <w:t>（2）在磷化工生产过程中，产生大量黄磷尾气及预热，应充分利用，应结合产业发展对节能相关要求，用热系统应突破常规的单套装置设计方式，把供热装置进行整体的优化和组合匹配，合理分配，使不同的装置进行联合运作。同时还应利用区域优势，根据各个产业项目用热及余热实际情况，实现尾气、蒸汽等热能的梯级利用；</w:t>
      </w:r>
    </w:p>
    <w:p>
      <w:pPr>
        <w:rPr>
          <w:rFonts w:hint="eastAsia"/>
          <w:color w:val="auto"/>
          <w:lang w:val="en-US" w:eastAsia="zh-CN"/>
        </w:rPr>
      </w:pPr>
      <w:r>
        <w:rPr>
          <w:rFonts w:hint="eastAsia"/>
          <w:color w:val="auto"/>
          <w:lang w:val="en-US" w:eastAsia="zh-CN"/>
        </w:rPr>
        <w:t>（3）推广采用变频调速技术，降低动力设备电力消耗</w:t>
      </w:r>
    </w:p>
    <w:p>
      <w:pPr>
        <w:rPr>
          <w:rFonts w:hint="eastAsia"/>
          <w:color w:val="auto"/>
          <w:lang w:val="en-US" w:eastAsia="zh-CN"/>
        </w:rPr>
      </w:pPr>
      <w:r>
        <w:rPr>
          <w:rFonts w:hint="eastAsia"/>
          <w:color w:val="auto"/>
          <w:lang w:val="en-US" w:eastAsia="zh-CN"/>
        </w:rPr>
        <w:t>建议在园区企业推广使用电力拖动的变频调速技术，防止各生产装置中的电机拖动系统长期处于工频的状态，进而达到降低电能损耗的目的。</w:t>
      </w:r>
    </w:p>
    <w:p>
      <w:pPr>
        <w:rPr>
          <w:rFonts w:hint="eastAsia"/>
          <w:color w:val="auto"/>
          <w:lang w:val="en-US" w:eastAsia="zh-CN"/>
        </w:rPr>
      </w:pPr>
      <w:r>
        <w:rPr>
          <w:rFonts w:hint="eastAsia"/>
          <w:color w:val="auto"/>
          <w:lang w:val="en-US" w:eastAsia="zh-CN"/>
        </w:rPr>
        <w:t>（4）新技术、新设备的推广应用</w:t>
      </w:r>
    </w:p>
    <w:p>
      <w:pPr>
        <w:rPr>
          <w:rFonts w:hint="eastAsia"/>
          <w:color w:val="auto"/>
          <w:lang w:val="en-US" w:eastAsia="zh-CN"/>
        </w:rPr>
      </w:pPr>
      <w:r>
        <w:rPr>
          <w:rFonts w:hint="eastAsia"/>
          <w:color w:val="auto"/>
          <w:lang w:val="en-US" w:eastAsia="zh-CN"/>
        </w:rPr>
        <w:t>在通用设备方面，可推广使用磁悬浮风机、永磁同步电机、高效节能水泵等先进节能的设备。</w:t>
      </w:r>
    </w:p>
    <w:p>
      <w:pPr>
        <w:pStyle w:val="4"/>
        <w:bidi w:val="0"/>
        <w:rPr>
          <w:rFonts w:hint="eastAsia"/>
          <w:color w:val="auto"/>
          <w:lang w:val="en-US" w:eastAsia="zh-CN"/>
        </w:rPr>
      </w:pPr>
      <w:bookmarkStart w:id="41" w:name="_Toc18226"/>
      <w:r>
        <w:rPr>
          <w:rFonts w:hint="eastAsia"/>
          <w:color w:val="auto"/>
          <w:lang w:val="en-US" w:eastAsia="zh-CN"/>
        </w:rPr>
        <w:t>4.1.3 企业辅助生产用能系统分析</w:t>
      </w:r>
      <w:bookmarkEnd w:id="41"/>
    </w:p>
    <w:p>
      <w:pPr>
        <w:rPr>
          <w:rFonts w:hint="eastAsia"/>
          <w:color w:val="auto"/>
          <w:lang w:val="en-US" w:eastAsia="zh-CN"/>
        </w:rPr>
      </w:pPr>
      <w:r>
        <w:rPr>
          <w:rFonts w:hint="eastAsia"/>
          <w:color w:val="auto"/>
          <w:lang w:val="en-US" w:eastAsia="zh-CN"/>
        </w:rPr>
        <w:t>企业辅助生产用能系统主要含供配电系统、给排水系统、压缩空气系统、水处理系统、热力系统等。</w:t>
      </w:r>
    </w:p>
    <w:p>
      <w:pPr>
        <w:rPr>
          <w:rFonts w:hint="eastAsia"/>
          <w:color w:val="auto"/>
          <w:lang w:val="en-US" w:eastAsia="zh-CN"/>
        </w:rPr>
      </w:pPr>
      <w:r>
        <w:rPr>
          <w:rFonts w:hint="eastAsia"/>
          <w:color w:val="auto"/>
          <w:lang w:val="en-US" w:eastAsia="zh-CN"/>
        </w:rPr>
        <w:t>1、供配电系统</w:t>
      </w:r>
    </w:p>
    <w:p>
      <w:pPr>
        <w:rPr>
          <w:rFonts w:hint="eastAsia"/>
          <w:color w:val="auto"/>
          <w:lang w:val="en-US" w:eastAsia="zh-CN"/>
        </w:rPr>
      </w:pPr>
      <w:r>
        <w:rPr>
          <w:rFonts w:hint="eastAsia"/>
          <w:color w:val="auto"/>
          <w:lang w:val="en-US" w:eastAsia="zh-CN"/>
        </w:rPr>
        <w:t>开发区为分区域集群发展，各区域供电主要由市政电网引入，在个区域中心设置开闭站，各项目入驻后自行安装变压器用于项目自身供电，引入电压等级为10kV。</w:t>
      </w:r>
    </w:p>
    <w:p>
      <w:pPr>
        <w:rPr>
          <w:rFonts w:hint="eastAsia"/>
          <w:color w:val="auto"/>
          <w:lang w:val="en-US" w:eastAsia="zh-CN"/>
        </w:rPr>
      </w:pPr>
      <w:r>
        <w:rPr>
          <w:rFonts w:hint="eastAsia"/>
          <w:color w:val="auto"/>
          <w:lang w:val="en-US" w:eastAsia="zh-CN"/>
        </w:rPr>
        <w:t>（1）负荷级别及总负荷估算容量</w:t>
      </w:r>
    </w:p>
    <w:p>
      <w:pPr>
        <w:rPr>
          <w:rFonts w:hint="eastAsia"/>
          <w:color w:val="auto"/>
          <w:lang w:val="en-US" w:eastAsia="zh-CN"/>
        </w:rPr>
      </w:pPr>
      <w:r>
        <w:rPr>
          <w:rFonts w:hint="eastAsia"/>
          <w:color w:val="auto"/>
          <w:lang w:val="en-US" w:eastAsia="zh-CN"/>
        </w:rPr>
        <w:t>1）负荷分级</w:t>
      </w:r>
    </w:p>
    <w:p>
      <w:pPr>
        <w:rPr>
          <w:rFonts w:hint="eastAsia"/>
          <w:color w:val="auto"/>
          <w:lang w:val="en-US" w:eastAsia="zh-CN"/>
        </w:rPr>
      </w:pPr>
      <w:r>
        <w:rPr>
          <w:rFonts w:hint="eastAsia"/>
          <w:color w:val="auto"/>
          <w:lang w:val="en-US" w:eastAsia="zh-CN"/>
        </w:rPr>
        <w:t>开发区厂房均为单、多层工业厂房；办公楼、配套用房、宿舍等为多层建筑，其用电负荷如下：</w:t>
      </w:r>
    </w:p>
    <w:p>
      <w:pPr>
        <w:rPr>
          <w:rFonts w:hint="eastAsia"/>
          <w:color w:val="auto"/>
          <w:lang w:val="en-US" w:eastAsia="zh-CN"/>
        </w:rPr>
      </w:pPr>
      <w:r>
        <w:rPr>
          <w:rFonts w:hint="eastAsia"/>
          <w:color w:val="auto"/>
          <w:lang w:val="en-US" w:eastAsia="zh-CN"/>
        </w:rPr>
        <w:t>一级负荷：区无一级用电负荷。</w:t>
      </w:r>
    </w:p>
    <w:p>
      <w:pPr>
        <w:rPr>
          <w:rFonts w:hint="eastAsia"/>
          <w:color w:val="auto"/>
          <w:lang w:val="en-US" w:eastAsia="zh-CN"/>
        </w:rPr>
      </w:pPr>
      <w:r>
        <w:rPr>
          <w:rFonts w:hint="eastAsia"/>
          <w:color w:val="auto"/>
          <w:lang w:val="en-US" w:eastAsia="zh-CN"/>
        </w:rPr>
        <w:t>二级负荷：消防设备（消防水泵、消防风机、消防电梯、防火卷帘、应急照明及疏散指示标志、火灾自动报警系统等）用电，电子信息设备机房用电、值班照明等。</w:t>
      </w:r>
    </w:p>
    <w:p>
      <w:pPr>
        <w:rPr>
          <w:rFonts w:hint="eastAsia"/>
          <w:color w:val="auto"/>
          <w:lang w:val="en-US" w:eastAsia="zh-CN"/>
        </w:rPr>
      </w:pPr>
      <w:r>
        <w:rPr>
          <w:rFonts w:hint="eastAsia"/>
          <w:color w:val="auto"/>
          <w:lang w:val="en-US" w:eastAsia="zh-CN"/>
        </w:rPr>
        <w:t>三级负荷：一般照明及其他不属于二级负荷的设备用电。</w:t>
      </w:r>
    </w:p>
    <w:p>
      <w:pPr>
        <w:rPr>
          <w:rFonts w:hint="eastAsia"/>
          <w:color w:val="auto"/>
          <w:lang w:val="en-US" w:eastAsia="zh-CN"/>
        </w:rPr>
      </w:pPr>
      <w:r>
        <w:rPr>
          <w:rFonts w:hint="eastAsia"/>
          <w:color w:val="auto"/>
          <w:lang w:val="en-US" w:eastAsia="zh-CN"/>
        </w:rPr>
        <w:t>2）供电电源及电压</w:t>
      </w:r>
    </w:p>
    <w:p>
      <w:pPr>
        <w:rPr>
          <w:rFonts w:hint="eastAsia"/>
          <w:color w:val="auto"/>
          <w:lang w:val="en-US" w:eastAsia="zh-CN"/>
        </w:rPr>
      </w:pPr>
      <w:r>
        <w:rPr>
          <w:rFonts w:hint="eastAsia"/>
          <w:color w:val="auto"/>
          <w:lang w:val="en-US" w:eastAsia="zh-CN"/>
        </w:rPr>
        <w:t>开发区供电电源主要有220kV开阳变、220kV永温变、110kV高云变、220kV双流变、110kV黄金变，合计容量为1340MVA。</w:t>
      </w:r>
    </w:p>
    <w:p>
      <w:pPr>
        <w:rPr>
          <w:rFonts w:hint="eastAsia"/>
          <w:color w:val="auto"/>
          <w:lang w:val="en-US" w:eastAsia="zh-CN"/>
        </w:rPr>
      </w:pPr>
      <w:r>
        <w:rPr>
          <w:rFonts w:hint="eastAsia"/>
          <w:color w:val="auto"/>
          <w:lang w:val="en-US" w:eastAsia="zh-CN"/>
        </w:rPr>
        <w:t>根据开发区入驻企业规模、性质，推荐各产业园区采用双回路电源进线；且电源不应同时受到损坏；根据园区负荷分布情况，推荐设置10kV开闭所，采用放射式供电方式。</w:t>
      </w:r>
    </w:p>
    <w:p>
      <w:pPr>
        <w:rPr>
          <w:rFonts w:hint="eastAsia"/>
          <w:color w:val="auto"/>
          <w:lang w:val="en-US" w:eastAsia="zh-CN"/>
        </w:rPr>
      </w:pPr>
      <w:r>
        <w:rPr>
          <w:rFonts w:hint="eastAsia"/>
          <w:color w:val="auto"/>
          <w:lang w:val="en-US" w:eastAsia="zh-CN"/>
        </w:rPr>
        <w:t>备用电源采用风冷式自启动柴油发电机组，供电电压为0.38/0.22kV。当10kV电源失电后，发电机在30s内自动启动向消防二级负荷供电。当市电恢复30~60s后，自动恢复市电供电，发电机组经冷却延时后，自动停机。</w:t>
      </w:r>
    </w:p>
    <w:p>
      <w:pPr>
        <w:rPr>
          <w:rFonts w:hint="eastAsia"/>
          <w:color w:val="auto"/>
          <w:lang w:val="en-US" w:eastAsia="zh-CN"/>
        </w:rPr>
      </w:pPr>
      <w:r>
        <w:rPr>
          <w:rFonts w:hint="eastAsia"/>
          <w:color w:val="auto"/>
          <w:lang w:val="en-US" w:eastAsia="zh-CN"/>
        </w:rPr>
        <w:t>3）变配电设施布置原则</w:t>
      </w:r>
    </w:p>
    <w:p>
      <w:pPr>
        <w:rPr>
          <w:rFonts w:hint="eastAsia"/>
          <w:color w:val="auto"/>
          <w:lang w:val="en-US" w:eastAsia="zh-CN"/>
        </w:rPr>
      </w:pPr>
      <w:r>
        <w:rPr>
          <w:rFonts w:hint="eastAsia"/>
          <w:color w:val="auto"/>
          <w:lang w:val="en-US" w:eastAsia="zh-CN"/>
        </w:rPr>
        <w:t>应结合开发区建筑布局及负荷分布情况，分区域设置变配电室和室外箱式变电站。各变电所应位于负荷中心，变压器供电半径不超过200m。</w:t>
      </w:r>
    </w:p>
    <w:p>
      <w:pPr>
        <w:rPr>
          <w:rFonts w:hint="eastAsia"/>
          <w:color w:val="auto"/>
          <w:lang w:val="en-US" w:eastAsia="zh-CN"/>
        </w:rPr>
      </w:pPr>
      <w:r>
        <w:rPr>
          <w:rFonts w:hint="eastAsia"/>
          <w:color w:val="auto"/>
          <w:lang w:val="en-US" w:eastAsia="zh-CN"/>
        </w:rPr>
        <w:t>4）能效标准要求</w:t>
      </w:r>
    </w:p>
    <w:p>
      <w:pPr>
        <w:rPr>
          <w:rFonts w:hint="eastAsia"/>
          <w:color w:val="auto"/>
          <w:lang w:val="en-US" w:eastAsia="zh-CN"/>
        </w:rPr>
      </w:pPr>
      <w:r>
        <w:rPr>
          <w:rFonts w:hint="eastAsia"/>
          <w:color w:val="auto"/>
          <w:lang w:val="en-US" w:eastAsia="zh-CN"/>
        </w:rPr>
        <w:t>开发区用电节能措施、能效指标须严格按照《评价企业合理用电技术导则》（GB/T 3485-1998）标准执行。</w:t>
      </w:r>
    </w:p>
    <w:p>
      <w:pPr>
        <w:rPr>
          <w:rFonts w:hint="eastAsia"/>
          <w:color w:val="auto"/>
          <w:lang w:val="en-US" w:eastAsia="zh-CN"/>
        </w:rPr>
      </w:pPr>
      <w:r>
        <w:rPr>
          <w:rFonts w:hint="eastAsia"/>
          <w:color w:val="auto"/>
          <w:lang w:val="en-US" w:eastAsia="zh-CN"/>
        </w:rPr>
        <w:t>①线路损失</w:t>
      </w:r>
    </w:p>
    <w:p>
      <w:pPr>
        <w:rPr>
          <w:rFonts w:hint="eastAsia"/>
          <w:color w:val="auto"/>
          <w:lang w:val="en-US" w:eastAsia="zh-CN"/>
        </w:rPr>
      </w:pPr>
      <w:r>
        <w:rPr>
          <w:rFonts w:hint="eastAsia"/>
          <w:color w:val="auto"/>
          <w:lang w:val="en-US" w:eastAsia="zh-CN"/>
        </w:rPr>
        <w:t>开发区内的企业根据受电端至用电设备的变压级数，其总线损率分别应不超过以下指标：一级3.5%；二级5.5%；三级7%。</w:t>
      </w:r>
    </w:p>
    <w:p>
      <w:pPr>
        <w:rPr>
          <w:rFonts w:hint="eastAsia"/>
          <w:color w:val="auto"/>
          <w:lang w:val="en-US" w:eastAsia="zh-CN"/>
        </w:rPr>
      </w:pPr>
      <w:r>
        <w:rPr>
          <w:rFonts w:hint="eastAsia"/>
          <w:color w:val="auto"/>
          <w:lang w:val="en-US" w:eastAsia="zh-CN"/>
        </w:rPr>
        <w:t>②日负荷率</w:t>
      </w:r>
    </w:p>
    <w:p>
      <w:pPr>
        <w:rPr>
          <w:rFonts w:hint="eastAsia"/>
          <w:color w:val="auto"/>
          <w:lang w:val="en-US" w:eastAsia="zh-CN"/>
        </w:rPr>
      </w:pPr>
      <w:r>
        <w:rPr>
          <w:rFonts w:hint="eastAsia"/>
          <w:color w:val="auto"/>
          <w:lang w:val="en-US" w:eastAsia="zh-CN"/>
        </w:rPr>
        <w:t>根据不同的用电情况，开发区内的企业日负荷率应不低于以下指标：连续性生产95%；三班制生产85%；二班制生产60%；一班制生产30%。</w:t>
      </w:r>
    </w:p>
    <w:p>
      <w:pPr>
        <w:rPr>
          <w:rFonts w:hint="eastAsia"/>
          <w:color w:val="auto"/>
          <w:lang w:val="en-US" w:eastAsia="zh-CN"/>
        </w:rPr>
      </w:pPr>
      <w:r>
        <w:rPr>
          <w:rFonts w:hint="eastAsia"/>
          <w:color w:val="auto"/>
          <w:lang w:val="en-US" w:eastAsia="zh-CN"/>
        </w:rPr>
        <w:t>③功率因数</w:t>
      </w:r>
    </w:p>
    <w:p>
      <w:pPr>
        <w:rPr>
          <w:rFonts w:hint="eastAsia"/>
          <w:color w:val="auto"/>
          <w:lang w:val="en-US" w:eastAsia="zh-CN"/>
        </w:rPr>
      </w:pPr>
      <w:r>
        <w:rPr>
          <w:rFonts w:hint="eastAsia"/>
          <w:color w:val="auto"/>
          <w:lang w:val="en-US" w:eastAsia="zh-CN"/>
        </w:rPr>
        <w:t>合理装置集中与就地无功补偿设备，最大负荷时的功率因数应不低于0.90；低负荷时，应调整无功补偿设备的容量，不得过补偿。</w:t>
      </w:r>
    </w:p>
    <w:p>
      <w:pPr>
        <w:rPr>
          <w:rFonts w:hint="eastAsia"/>
          <w:color w:val="auto"/>
          <w:lang w:val="en-US" w:eastAsia="zh-CN"/>
        </w:rPr>
      </w:pPr>
      <w:r>
        <w:rPr>
          <w:rFonts w:hint="eastAsia"/>
          <w:color w:val="auto"/>
          <w:lang w:val="en-US" w:eastAsia="zh-CN"/>
        </w:rPr>
        <w:t>④变压器</w:t>
      </w:r>
    </w:p>
    <w:p>
      <w:pPr>
        <w:rPr>
          <w:rFonts w:hint="eastAsia"/>
          <w:color w:val="auto"/>
          <w:lang w:val="en-US" w:eastAsia="zh-CN"/>
        </w:rPr>
      </w:pPr>
      <w:r>
        <w:rPr>
          <w:rFonts w:hint="eastAsia"/>
          <w:color w:val="auto"/>
          <w:lang w:val="en-US" w:eastAsia="zh-CN"/>
        </w:rPr>
        <w:t>结合开发区建筑布局情况，推荐选用园区企业采用SCB13系干式变压器、S13系油浸式变压器，选用的变压器建议达到《电力变压器能效限定值及能效等级》（GB20052-2020）2级能效及以上要求。</w:t>
      </w:r>
    </w:p>
    <w:p>
      <w:pPr>
        <w:rPr>
          <w:rFonts w:hint="eastAsia"/>
          <w:color w:val="auto"/>
          <w:lang w:val="en-US" w:eastAsia="zh-CN"/>
        </w:rPr>
      </w:pPr>
      <w:r>
        <w:rPr>
          <w:rFonts w:hint="eastAsia"/>
          <w:color w:val="auto"/>
          <w:lang w:val="en-US" w:eastAsia="zh-CN"/>
        </w:rPr>
        <w:t>（2）给排水系统</w:t>
      </w:r>
    </w:p>
    <w:p>
      <w:pPr>
        <w:rPr>
          <w:rFonts w:hint="eastAsia"/>
          <w:color w:val="auto"/>
          <w:lang w:val="en-US" w:eastAsia="zh-CN"/>
        </w:rPr>
      </w:pPr>
      <w:r>
        <w:rPr>
          <w:rFonts w:hint="eastAsia"/>
          <w:color w:val="auto"/>
          <w:lang w:val="en-US" w:eastAsia="zh-CN"/>
        </w:rPr>
        <w:t>1）基本情况</w:t>
      </w:r>
    </w:p>
    <w:p>
      <w:pPr>
        <w:rPr>
          <w:rFonts w:hint="eastAsia"/>
          <w:color w:val="auto"/>
          <w:lang w:val="en-US" w:eastAsia="zh-CN"/>
        </w:rPr>
      </w:pPr>
      <w:r>
        <w:rPr>
          <w:rFonts w:hint="eastAsia"/>
          <w:color w:val="auto"/>
          <w:lang w:val="en-US" w:eastAsia="zh-CN"/>
        </w:rPr>
        <w:t>开发区用水采用市政管网供给。生活污水、生产废水处理达标后方可接入市政污水管网。</w:t>
      </w:r>
    </w:p>
    <w:p>
      <w:pPr>
        <w:rPr>
          <w:rFonts w:hint="eastAsia"/>
          <w:color w:val="auto"/>
          <w:lang w:val="en-US" w:eastAsia="zh-CN"/>
        </w:rPr>
      </w:pPr>
      <w:r>
        <w:rPr>
          <w:rFonts w:hint="eastAsia"/>
          <w:color w:val="auto"/>
          <w:lang w:val="en-US" w:eastAsia="zh-CN"/>
        </w:rPr>
        <w:t>2）水源及供水方式</w:t>
      </w:r>
    </w:p>
    <w:p>
      <w:pPr>
        <w:rPr>
          <w:rFonts w:hint="eastAsia"/>
          <w:color w:val="auto"/>
          <w:lang w:val="en-US" w:eastAsia="zh-CN"/>
        </w:rPr>
      </w:pPr>
      <w:r>
        <w:rPr>
          <w:rFonts w:hint="eastAsia"/>
          <w:color w:val="auto"/>
          <w:lang w:val="en-US" w:eastAsia="zh-CN"/>
        </w:rPr>
        <w:t>开发区水资源包括老保河水库、那卡河水库、翁井水库、鹿角坝水库、杉木林水库、大山水库、卫星水库、简上水库、晴久河水库、罗家坡水库、三岔河水库、拐二水库、十三寸水库，合计总库容6571.12万m</w:t>
      </w:r>
      <w:r>
        <w:rPr>
          <w:rFonts w:hint="eastAsia"/>
          <w:color w:val="auto"/>
          <w:vertAlign w:val="superscript"/>
          <w:lang w:val="en-US" w:eastAsia="zh-CN"/>
        </w:rPr>
        <w:t>3</w:t>
      </w:r>
      <w:r>
        <w:rPr>
          <w:rFonts w:hint="eastAsia"/>
          <w:color w:val="auto"/>
          <w:lang w:val="en-US" w:eastAsia="zh-CN"/>
        </w:rPr>
        <w:t>/年，设计供水能力5891.62万m</w:t>
      </w:r>
      <w:r>
        <w:rPr>
          <w:rFonts w:hint="eastAsia"/>
          <w:color w:val="auto"/>
          <w:vertAlign w:val="superscript"/>
          <w:lang w:val="en-US" w:eastAsia="zh-CN"/>
        </w:rPr>
        <w:t>3</w:t>
      </w:r>
      <w:r>
        <w:rPr>
          <w:rFonts w:hint="eastAsia"/>
          <w:color w:val="auto"/>
          <w:lang w:val="en-US" w:eastAsia="zh-CN"/>
        </w:rPr>
        <w:t>/年。开发区现状由永温水厂、双流水厂、金钟水厂、镇西水厂进行供水，总供水规模为7200m</w:t>
      </w:r>
      <w:r>
        <w:rPr>
          <w:rFonts w:hint="eastAsia"/>
          <w:color w:val="auto"/>
          <w:vertAlign w:val="superscript"/>
          <w:lang w:val="en-US" w:eastAsia="zh-CN"/>
        </w:rPr>
        <w:t>3</w:t>
      </w:r>
      <w:r>
        <w:rPr>
          <w:rFonts w:hint="eastAsia"/>
          <w:color w:val="auto"/>
          <w:lang w:val="en-US" w:eastAsia="zh-CN"/>
        </w:rPr>
        <w:t>/d，区域内生活、生产用水绿化、消防用水。开发区内所有建筑室内生活给水需充分利用市政压力采用市政管网直接供水，入户压力超过0.20MPa的采用支管减压阀进行减压，不满足市政直供部分采用罐式无负压加压供水。</w:t>
      </w:r>
    </w:p>
    <w:p>
      <w:pPr>
        <w:rPr>
          <w:rFonts w:hint="eastAsia"/>
          <w:color w:val="auto"/>
          <w:lang w:val="en-US" w:eastAsia="zh-CN"/>
        </w:rPr>
      </w:pPr>
      <w:r>
        <w:rPr>
          <w:rFonts w:hint="eastAsia"/>
          <w:color w:val="auto"/>
          <w:lang w:val="en-US" w:eastAsia="zh-CN"/>
        </w:rPr>
        <w:t>（3）排水设计</w:t>
      </w:r>
    </w:p>
    <w:p>
      <w:pPr>
        <w:rPr>
          <w:rFonts w:hint="eastAsia"/>
          <w:color w:val="auto"/>
          <w:lang w:val="en-US" w:eastAsia="zh-CN"/>
        </w:rPr>
      </w:pPr>
      <w:r>
        <w:rPr>
          <w:rFonts w:hint="eastAsia"/>
          <w:color w:val="auto"/>
          <w:lang w:val="en-US" w:eastAsia="zh-CN"/>
        </w:rPr>
        <w:t>开发区排水应采用污、雨水分流制。污水按生活用水量的85%计，根据实际地形情况，园区的污水主要分为生活污水和入驻企业生产废水，企业生产废水主要由企业污水处理设施处理达标后回用或排放，生活污水主要排入开发区各产业园市政污水管网，进入生活污水处理厂进行处理。</w:t>
      </w:r>
    </w:p>
    <w:p>
      <w:pPr>
        <w:rPr>
          <w:rFonts w:hint="eastAsia"/>
          <w:color w:val="auto"/>
          <w:lang w:val="en-US" w:eastAsia="zh-CN"/>
        </w:rPr>
      </w:pPr>
      <w:r>
        <w:rPr>
          <w:rFonts w:hint="eastAsia"/>
          <w:color w:val="auto"/>
          <w:lang w:val="en-US" w:eastAsia="zh-CN"/>
        </w:rPr>
        <w:t>（4）节能要求</w:t>
      </w:r>
    </w:p>
    <w:p>
      <w:pPr>
        <w:rPr>
          <w:rFonts w:hint="eastAsia"/>
          <w:color w:val="auto"/>
          <w:lang w:val="en-US" w:eastAsia="zh-CN"/>
        </w:rPr>
      </w:pPr>
      <w:r>
        <w:rPr>
          <w:rFonts w:hint="eastAsia"/>
          <w:color w:val="auto"/>
          <w:lang w:val="en-US" w:eastAsia="zh-CN"/>
        </w:rPr>
        <w:t>应按照《节水型企业评价导则》（GB/T 7119-2018）标准执行。</w:t>
      </w:r>
    </w:p>
    <w:p>
      <w:pPr>
        <w:rPr>
          <w:rFonts w:hint="eastAsia"/>
          <w:color w:val="auto"/>
          <w:lang w:val="en-US" w:eastAsia="zh-CN"/>
        </w:rPr>
      </w:pPr>
      <w:r>
        <w:rPr>
          <w:rFonts w:hint="eastAsia"/>
          <w:color w:val="auto"/>
          <w:lang w:val="en-US" w:eastAsia="zh-CN"/>
        </w:rPr>
        <w:t>1）各用水系统，安装计量分水表。车间用水计量率应达到100%，设备用水计量率不低于90%。</w:t>
      </w:r>
    </w:p>
    <w:p>
      <w:pPr>
        <w:rPr>
          <w:rFonts w:hint="eastAsia"/>
          <w:color w:val="auto"/>
          <w:lang w:val="en-US" w:eastAsia="zh-CN"/>
        </w:rPr>
      </w:pPr>
      <w:r>
        <w:rPr>
          <w:rFonts w:hint="eastAsia"/>
          <w:color w:val="auto"/>
          <w:lang w:val="en-US" w:eastAsia="zh-CN"/>
        </w:rPr>
        <w:t>2）水表的精确度应不低于士2.5%。</w:t>
      </w:r>
    </w:p>
    <w:p>
      <w:pPr>
        <w:rPr>
          <w:rFonts w:hint="eastAsia"/>
          <w:color w:val="auto"/>
          <w:lang w:val="en-US" w:eastAsia="zh-CN"/>
        </w:rPr>
      </w:pPr>
      <w:r>
        <w:rPr>
          <w:rFonts w:hint="eastAsia"/>
          <w:color w:val="auto"/>
          <w:lang w:val="en-US" w:eastAsia="zh-CN"/>
        </w:rPr>
        <w:t>3）园区选用的清水离心泵应达到《清水离心泵能效限定值及节能评价值》（GB19762-2007）节能评价值及以上要求。</w:t>
      </w:r>
    </w:p>
    <w:p>
      <w:pPr>
        <w:rPr>
          <w:rFonts w:hint="eastAsia"/>
          <w:color w:val="auto"/>
          <w:lang w:val="en-US" w:eastAsia="zh-CN"/>
        </w:rPr>
      </w:pPr>
      <w:r>
        <w:rPr>
          <w:rFonts w:hint="eastAsia"/>
          <w:color w:val="auto"/>
          <w:lang w:val="en-US" w:eastAsia="zh-CN"/>
        </w:rPr>
        <w:t>3、压缩空气系统</w:t>
      </w:r>
    </w:p>
    <w:p>
      <w:pPr>
        <w:rPr>
          <w:rFonts w:hint="eastAsia"/>
          <w:color w:val="auto"/>
          <w:lang w:val="en-US" w:eastAsia="zh-CN"/>
        </w:rPr>
      </w:pPr>
      <w:r>
        <w:rPr>
          <w:rFonts w:hint="eastAsia"/>
          <w:color w:val="auto"/>
          <w:lang w:val="en-US" w:eastAsia="zh-CN"/>
        </w:rPr>
        <w:t>（1）基本情况</w:t>
      </w:r>
    </w:p>
    <w:p>
      <w:pPr>
        <w:rPr>
          <w:rFonts w:hint="eastAsia"/>
          <w:color w:val="auto"/>
          <w:lang w:val="en-US" w:eastAsia="zh-CN"/>
        </w:rPr>
      </w:pPr>
      <w:r>
        <w:rPr>
          <w:rFonts w:hint="eastAsia"/>
          <w:color w:val="auto"/>
          <w:lang w:val="en-US" w:eastAsia="zh-CN"/>
        </w:rPr>
        <w:t>开发区内的压缩空气主要用于部分生产用气及化验实验用气、物料输送、干燥、吹扫、气动仪表、自动控制用气等。上述压缩空气在一般制造业中无特殊要求，根据标准《气动元件及系统用空气介质质量等级》（JB/T5967-2007），在食品饮料加工业中，对压缩空气要求如下：</w:t>
      </w:r>
    </w:p>
    <w:p>
      <w:pPr>
        <w:rPr>
          <w:rFonts w:hint="eastAsia"/>
          <w:color w:val="auto"/>
          <w:lang w:val="en-US" w:eastAsia="zh-CN"/>
        </w:rPr>
      </w:pPr>
      <w:r>
        <w:rPr>
          <w:rFonts w:hint="eastAsia"/>
          <w:color w:val="auto"/>
          <w:lang w:val="en-US" w:eastAsia="zh-CN"/>
        </w:rPr>
        <w:t>对于固体粒子，质量等级小于等于2级，即最大粒子尺寸小于等于1μm，最大浓度小于等于1mg/m³；对于水蒸气，质量等级小于等于3级，即最高压力露点为-20℃；对于含油量，质量等级为1级，最大含油量为0.01mg/m³。</w:t>
      </w:r>
    </w:p>
    <w:p>
      <w:pPr>
        <w:rPr>
          <w:rFonts w:hint="eastAsia"/>
          <w:color w:val="auto"/>
          <w:lang w:val="en-US" w:eastAsia="zh-CN"/>
        </w:rPr>
      </w:pPr>
      <w:r>
        <w:rPr>
          <w:rFonts w:hint="eastAsia"/>
          <w:color w:val="auto"/>
          <w:lang w:val="en-US" w:eastAsia="zh-CN"/>
        </w:rPr>
        <w:t>（2）用能工艺分析</w:t>
      </w:r>
    </w:p>
    <w:p>
      <w:pPr>
        <w:rPr>
          <w:rFonts w:hint="eastAsia"/>
          <w:color w:val="auto"/>
          <w:lang w:val="en-US" w:eastAsia="zh-CN"/>
        </w:rPr>
      </w:pPr>
      <w:r>
        <w:rPr>
          <w:rFonts w:hint="eastAsia"/>
          <w:color w:val="auto"/>
          <w:lang w:val="en-US" w:eastAsia="zh-CN"/>
        </w:rPr>
        <w:t>根据生产企业的不同性质及规模，空压机的不同类型及对压缩空气品质的不同要求等而有不同的取舍。原则上设计时应仔细研究和分析用户的用气指标要求及用气特点，然后制定出合理的压缩空气站工艺系统。</w:t>
      </w:r>
    </w:p>
    <w:p>
      <w:pPr>
        <w:rPr>
          <w:rFonts w:hint="eastAsia"/>
          <w:color w:val="auto"/>
          <w:lang w:val="en-US" w:eastAsia="zh-CN"/>
        </w:rPr>
      </w:pPr>
      <w:r>
        <w:rPr>
          <w:rFonts w:hint="eastAsia"/>
          <w:color w:val="auto"/>
          <w:lang w:val="en-US" w:eastAsia="zh-CN"/>
        </w:rPr>
        <w:t>（3）设备选择</w:t>
      </w:r>
    </w:p>
    <w:p>
      <w:pPr>
        <w:rPr>
          <w:rFonts w:hint="eastAsia"/>
          <w:color w:val="auto"/>
          <w:lang w:val="en-US" w:eastAsia="zh-CN"/>
        </w:rPr>
      </w:pPr>
      <w:r>
        <w:rPr>
          <w:rFonts w:hint="eastAsia"/>
          <w:color w:val="auto"/>
          <w:lang w:val="en-US" w:eastAsia="zh-CN"/>
        </w:rPr>
        <w:t>1）空压机选型</w:t>
      </w:r>
    </w:p>
    <w:p>
      <w:pPr>
        <w:rPr>
          <w:rFonts w:hint="eastAsia"/>
          <w:color w:val="auto"/>
          <w:lang w:val="en-US" w:eastAsia="zh-CN"/>
        </w:rPr>
      </w:pPr>
      <w:r>
        <w:rPr>
          <w:rFonts w:hint="eastAsia"/>
          <w:color w:val="auto"/>
          <w:lang w:val="en-US" w:eastAsia="zh-CN"/>
        </w:rPr>
        <w:t>通常使用的空压机有活塞式、螺杆式和离心式三种。离心式空压机单台容量大，调节范围在70%~100%在小气量时易发生喘振，对食品制造业不适应，不推荐使用；活塞式空压机易损件多、维修工作量大，噪声和震动也较大且自动化水平较低，与不符合产业发展政策，不推荐使用；螺杆式空压机结构尺寸小，仅需轻型基础，无脉冲气流，震动噪声低，维修量小自控水平高。</w:t>
      </w:r>
    </w:p>
    <w:p>
      <w:pPr>
        <w:rPr>
          <w:rFonts w:hint="eastAsia"/>
          <w:color w:val="auto"/>
          <w:lang w:val="en-US" w:eastAsia="zh-CN"/>
        </w:rPr>
      </w:pPr>
      <w:r>
        <w:rPr>
          <w:rFonts w:hint="eastAsia"/>
          <w:color w:val="auto"/>
          <w:lang w:val="en-US" w:eastAsia="zh-CN"/>
        </w:rPr>
        <w:t>2）干燥装置的选择</w:t>
      </w:r>
    </w:p>
    <w:p>
      <w:pPr>
        <w:rPr>
          <w:rFonts w:hint="eastAsia"/>
          <w:color w:val="auto"/>
          <w:lang w:val="en-US" w:eastAsia="zh-CN"/>
        </w:rPr>
      </w:pPr>
      <w:r>
        <w:rPr>
          <w:rFonts w:hint="eastAsia"/>
          <w:color w:val="auto"/>
          <w:lang w:val="en-US" w:eastAsia="zh-CN"/>
        </w:rPr>
        <w:t>生态特色食品制造业对于压缩空气水分的要求较高，基本要求压缩空气的压力露点达到-20℃。</w:t>
      </w:r>
    </w:p>
    <w:p>
      <w:pPr>
        <w:rPr>
          <w:rFonts w:hint="eastAsia"/>
          <w:color w:val="auto"/>
          <w:lang w:val="en-US" w:eastAsia="zh-CN"/>
        </w:rPr>
      </w:pPr>
      <w:r>
        <w:rPr>
          <w:rFonts w:hint="eastAsia"/>
          <w:color w:val="auto"/>
          <w:lang w:val="en-US" w:eastAsia="zh-CN"/>
        </w:rPr>
        <w:t>压缩空气的干燥方式，一般可分为冷冻式和吸附式二种。在选择干燥装置时不能只根据铭牌数据选用设备，而应考虑设备入口压缩空气温度、压力及环境温度对干燥器出力的影响。</w:t>
      </w:r>
    </w:p>
    <w:p>
      <w:pPr>
        <w:rPr>
          <w:rFonts w:hint="eastAsia"/>
          <w:color w:val="auto"/>
          <w:lang w:val="en-US" w:eastAsia="zh-CN"/>
        </w:rPr>
      </w:pPr>
      <w:r>
        <w:rPr>
          <w:rFonts w:hint="eastAsia"/>
          <w:color w:val="auto"/>
          <w:lang w:val="en-US" w:eastAsia="zh-CN"/>
        </w:rPr>
        <w:t>（4）能效要求</w:t>
      </w:r>
    </w:p>
    <w:p>
      <w:pPr>
        <w:rPr>
          <w:rFonts w:hint="eastAsia"/>
          <w:color w:val="auto"/>
          <w:lang w:val="en-US" w:eastAsia="zh-CN"/>
        </w:rPr>
      </w:pPr>
      <w:r>
        <w:rPr>
          <w:rFonts w:hint="eastAsia"/>
          <w:color w:val="auto"/>
          <w:lang w:val="en-US" w:eastAsia="zh-CN"/>
        </w:rPr>
        <w:t>1）螺杆空压机在规定工况下的实际容积流量应不低于公称容积流量的95%。</w:t>
      </w:r>
    </w:p>
    <w:p>
      <w:pPr>
        <w:rPr>
          <w:rFonts w:hint="eastAsia"/>
          <w:color w:val="auto"/>
          <w:lang w:val="en-US" w:eastAsia="zh-CN"/>
        </w:rPr>
      </w:pPr>
      <w:r>
        <w:rPr>
          <w:rFonts w:hint="eastAsia"/>
          <w:color w:val="auto"/>
          <w:lang w:val="en-US" w:eastAsia="zh-CN"/>
        </w:rPr>
        <w:t>2）当一级吸气温度为40℃、冷却水进水温度小于或等于30℃及排气压力为公称值时，其排气温度应不超过110℃。有后冷却器情况下，其水冷螺杆空压机组的排气温度应不超过40℃。</w:t>
      </w:r>
    </w:p>
    <w:p>
      <w:pPr>
        <w:rPr>
          <w:rFonts w:hint="eastAsia"/>
          <w:color w:val="auto"/>
          <w:lang w:val="en-US" w:eastAsia="zh-CN"/>
        </w:rPr>
      </w:pPr>
      <w:r>
        <w:rPr>
          <w:rFonts w:hint="eastAsia"/>
          <w:color w:val="auto"/>
          <w:lang w:val="en-US" w:eastAsia="zh-CN"/>
        </w:rPr>
        <w:t>3）单螺杆空压机压缩每立方米空气所消耗的润滑油量应不大于35mg。</w:t>
      </w:r>
    </w:p>
    <w:p>
      <w:pPr>
        <w:rPr>
          <w:rFonts w:hint="eastAsia"/>
          <w:color w:val="auto"/>
          <w:lang w:val="en-US" w:eastAsia="zh-CN"/>
        </w:rPr>
      </w:pPr>
      <w:r>
        <w:rPr>
          <w:rFonts w:hint="eastAsia"/>
          <w:color w:val="auto"/>
          <w:lang w:val="en-US" w:eastAsia="zh-CN"/>
        </w:rPr>
        <w:t>4）生态特色食品制造业推荐采用螺杆式空压机，采用的空压机机组输入比功率建议达到《容积式空气压缩机能效限定值及能效等级》（GB 19153-2019）2级能效以上规定。</w:t>
      </w:r>
    </w:p>
    <w:p>
      <w:pPr>
        <w:rPr>
          <w:rFonts w:hint="eastAsia"/>
          <w:color w:val="auto"/>
          <w:lang w:val="en-US" w:eastAsia="zh-CN"/>
        </w:rPr>
      </w:pPr>
      <w:r>
        <w:rPr>
          <w:rFonts w:hint="eastAsia"/>
          <w:color w:val="auto"/>
          <w:lang w:val="en-US" w:eastAsia="zh-CN"/>
        </w:rPr>
        <w:t>4、水处理系统</w:t>
      </w:r>
    </w:p>
    <w:p>
      <w:pPr>
        <w:rPr>
          <w:rFonts w:hint="eastAsia"/>
          <w:color w:val="auto"/>
          <w:lang w:val="en-US" w:eastAsia="zh-CN"/>
        </w:rPr>
      </w:pPr>
      <w:r>
        <w:rPr>
          <w:rFonts w:hint="eastAsia"/>
          <w:color w:val="auto"/>
          <w:lang w:val="en-US" w:eastAsia="zh-CN"/>
        </w:rPr>
        <w:t>开发区水处理系统包括化工生产用水处理和污水处理、建材生产污水处理、食品药品生产用水处理和污水处理等。</w:t>
      </w:r>
    </w:p>
    <w:p>
      <w:pPr>
        <w:rPr>
          <w:rFonts w:hint="eastAsia"/>
          <w:color w:val="auto"/>
          <w:lang w:val="en-US" w:eastAsia="zh-CN"/>
        </w:rPr>
      </w:pPr>
      <w:r>
        <w:rPr>
          <w:rFonts w:hint="eastAsia"/>
          <w:color w:val="auto"/>
          <w:lang w:val="en-US" w:eastAsia="zh-CN"/>
        </w:rPr>
        <w:t>园区污水处理一般企业污废水经隔油、过滤等处理后达标排入市政污水管网，基于开发区污水处理厂规模相对较大，推荐对污水集中处置，国内外较成熟具有脱氮除磷功能且去除率较高的污水处理工艺有AA/O-MBR（方案1）、AAO+砂滤工艺（方案2）、A/O生物接触氧化+砂滤工艺（方案3）、改良AAO+滤布滤池工艺（方案4），各工艺比较如下表。</w:t>
      </w:r>
    </w:p>
    <w:p>
      <w:pPr>
        <w:jc w:val="center"/>
        <w:rPr>
          <w:rFonts w:hint="eastAsia"/>
          <w:color w:val="auto"/>
          <w:lang w:val="en-US" w:eastAsia="zh-CN"/>
        </w:rPr>
      </w:pPr>
      <w:r>
        <w:rPr>
          <w:rFonts w:hint="eastAsia"/>
          <w:color w:val="auto"/>
          <w:lang w:val="en-US" w:eastAsia="zh-CN"/>
        </w:rPr>
        <w:t>表4-1工艺技术经济指标对比表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1419"/>
        <w:gridCol w:w="1419"/>
        <w:gridCol w:w="1420"/>
        <w:gridCol w:w="1420"/>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298" w:type="dxa"/>
            <w:vAlign w:val="center"/>
          </w:tcPr>
          <w:p>
            <w:pPr>
              <w:spacing w:line="240" w:lineRule="auto"/>
              <w:ind w:firstLine="0" w:firstLineChars="0"/>
              <w:jc w:val="center"/>
              <w:rPr>
                <w:rFonts w:eastAsia="宋体"/>
                <w:b/>
                <w:bCs/>
                <w:color w:val="auto"/>
                <w:sz w:val="21"/>
              </w:rPr>
            </w:pPr>
            <w:r>
              <w:rPr>
                <w:rFonts w:eastAsia="宋体"/>
                <w:b/>
                <w:bCs/>
                <w:color w:val="auto"/>
                <w:sz w:val="21"/>
              </w:rPr>
              <w:t>比较项目</w:t>
            </w:r>
          </w:p>
        </w:tc>
        <w:tc>
          <w:tcPr>
            <w:tcW w:w="1419" w:type="dxa"/>
            <w:vAlign w:val="center"/>
          </w:tcPr>
          <w:p>
            <w:pPr>
              <w:spacing w:line="240" w:lineRule="auto"/>
              <w:ind w:firstLine="0" w:firstLineChars="0"/>
              <w:jc w:val="center"/>
              <w:rPr>
                <w:rFonts w:eastAsia="宋体"/>
                <w:b/>
                <w:bCs/>
                <w:color w:val="auto"/>
                <w:sz w:val="21"/>
              </w:rPr>
            </w:pPr>
            <w:r>
              <w:rPr>
                <w:rFonts w:eastAsia="宋体"/>
                <w:b/>
                <w:bCs/>
                <w:color w:val="auto"/>
                <w:sz w:val="21"/>
              </w:rPr>
              <w:t>方案1</w:t>
            </w:r>
          </w:p>
        </w:tc>
        <w:tc>
          <w:tcPr>
            <w:tcW w:w="1419" w:type="dxa"/>
            <w:vAlign w:val="center"/>
          </w:tcPr>
          <w:p>
            <w:pPr>
              <w:spacing w:line="240" w:lineRule="auto"/>
              <w:ind w:firstLine="0" w:firstLineChars="0"/>
              <w:jc w:val="center"/>
              <w:rPr>
                <w:rFonts w:eastAsia="宋体"/>
                <w:b/>
                <w:bCs/>
                <w:color w:val="auto"/>
                <w:sz w:val="21"/>
              </w:rPr>
            </w:pPr>
            <w:r>
              <w:rPr>
                <w:rFonts w:eastAsia="宋体"/>
                <w:b/>
                <w:bCs/>
                <w:color w:val="auto"/>
                <w:sz w:val="21"/>
              </w:rPr>
              <w:t>方案2</w:t>
            </w:r>
          </w:p>
        </w:tc>
        <w:tc>
          <w:tcPr>
            <w:tcW w:w="1420" w:type="dxa"/>
            <w:vAlign w:val="center"/>
          </w:tcPr>
          <w:p>
            <w:pPr>
              <w:spacing w:line="240" w:lineRule="auto"/>
              <w:ind w:firstLine="0" w:firstLineChars="0"/>
              <w:jc w:val="center"/>
              <w:rPr>
                <w:rFonts w:eastAsia="宋体"/>
                <w:b/>
                <w:bCs/>
                <w:color w:val="auto"/>
                <w:sz w:val="21"/>
              </w:rPr>
            </w:pPr>
            <w:r>
              <w:rPr>
                <w:rFonts w:eastAsia="宋体"/>
                <w:b/>
                <w:bCs/>
                <w:color w:val="auto"/>
                <w:sz w:val="21"/>
              </w:rPr>
              <w:t>方案3</w:t>
            </w:r>
          </w:p>
        </w:tc>
        <w:tc>
          <w:tcPr>
            <w:tcW w:w="1420" w:type="dxa"/>
            <w:vAlign w:val="center"/>
          </w:tcPr>
          <w:p>
            <w:pPr>
              <w:spacing w:line="240" w:lineRule="auto"/>
              <w:ind w:firstLine="0" w:firstLineChars="0"/>
              <w:jc w:val="center"/>
              <w:rPr>
                <w:rFonts w:eastAsia="宋体"/>
                <w:b/>
                <w:bCs/>
                <w:color w:val="auto"/>
                <w:sz w:val="21"/>
              </w:rPr>
            </w:pPr>
            <w:r>
              <w:rPr>
                <w:rFonts w:eastAsia="宋体"/>
                <w:b/>
                <w:bCs/>
                <w:color w:val="auto"/>
                <w:sz w:val="21"/>
              </w:rPr>
              <w:t>方案4</w:t>
            </w:r>
          </w:p>
        </w:tc>
        <w:tc>
          <w:tcPr>
            <w:tcW w:w="1420" w:type="dxa"/>
            <w:vAlign w:val="center"/>
          </w:tcPr>
          <w:p>
            <w:pPr>
              <w:spacing w:line="240" w:lineRule="auto"/>
              <w:ind w:firstLine="0" w:firstLineChars="0"/>
              <w:jc w:val="center"/>
              <w:rPr>
                <w:rFonts w:eastAsia="宋体"/>
                <w:b/>
                <w:bCs/>
                <w:color w:val="auto"/>
                <w:sz w:val="21"/>
              </w:rPr>
            </w:pPr>
            <w:r>
              <w:rPr>
                <w:rFonts w:eastAsia="宋体"/>
                <w:b/>
                <w:bCs/>
                <w:color w:val="auto"/>
                <w:sz w:val="21"/>
              </w:rPr>
              <w:t>优势方案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vAlign w:val="center"/>
          </w:tcPr>
          <w:p>
            <w:pPr>
              <w:spacing w:line="240" w:lineRule="auto"/>
              <w:ind w:firstLine="0" w:firstLineChars="0"/>
              <w:jc w:val="center"/>
              <w:rPr>
                <w:rFonts w:eastAsia="宋体"/>
                <w:color w:val="auto"/>
                <w:sz w:val="21"/>
              </w:rPr>
            </w:pPr>
            <w:r>
              <w:rPr>
                <w:rFonts w:eastAsia="宋体"/>
                <w:color w:val="auto"/>
                <w:sz w:val="21"/>
              </w:rPr>
              <w:t>工艺流程</w:t>
            </w:r>
          </w:p>
        </w:tc>
        <w:tc>
          <w:tcPr>
            <w:tcW w:w="1419" w:type="dxa"/>
            <w:vAlign w:val="center"/>
          </w:tcPr>
          <w:p>
            <w:pPr>
              <w:spacing w:line="240" w:lineRule="auto"/>
              <w:ind w:firstLine="0" w:firstLineChars="0"/>
              <w:jc w:val="center"/>
              <w:rPr>
                <w:rFonts w:eastAsia="宋体"/>
                <w:color w:val="auto"/>
                <w:sz w:val="21"/>
              </w:rPr>
            </w:pPr>
            <w:r>
              <w:rPr>
                <w:rFonts w:eastAsia="宋体"/>
                <w:color w:val="auto"/>
                <w:sz w:val="21"/>
              </w:rPr>
              <w:t>简单</w:t>
            </w:r>
          </w:p>
        </w:tc>
        <w:tc>
          <w:tcPr>
            <w:tcW w:w="1419" w:type="dxa"/>
            <w:vAlign w:val="center"/>
          </w:tcPr>
          <w:p>
            <w:pPr>
              <w:spacing w:line="240" w:lineRule="auto"/>
              <w:ind w:firstLine="0" w:firstLineChars="0"/>
              <w:jc w:val="center"/>
              <w:rPr>
                <w:rFonts w:eastAsia="宋体"/>
                <w:color w:val="auto"/>
                <w:sz w:val="21"/>
              </w:rPr>
            </w:pPr>
            <w:r>
              <w:rPr>
                <w:rFonts w:eastAsia="宋体"/>
                <w:color w:val="auto"/>
                <w:sz w:val="21"/>
              </w:rPr>
              <w:t>相对复杂</w:t>
            </w:r>
          </w:p>
        </w:tc>
        <w:tc>
          <w:tcPr>
            <w:tcW w:w="1420" w:type="dxa"/>
            <w:vAlign w:val="center"/>
          </w:tcPr>
          <w:p>
            <w:pPr>
              <w:spacing w:line="240" w:lineRule="auto"/>
              <w:ind w:firstLine="0" w:firstLineChars="0"/>
              <w:jc w:val="center"/>
              <w:rPr>
                <w:rFonts w:eastAsia="宋体"/>
                <w:color w:val="auto"/>
                <w:sz w:val="21"/>
              </w:rPr>
            </w:pPr>
            <w:r>
              <w:rPr>
                <w:rFonts w:eastAsia="宋体"/>
                <w:color w:val="auto"/>
                <w:sz w:val="21"/>
              </w:rPr>
              <w:t>相对复杂</w:t>
            </w:r>
          </w:p>
        </w:tc>
        <w:tc>
          <w:tcPr>
            <w:tcW w:w="1420" w:type="dxa"/>
            <w:vAlign w:val="center"/>
          </w:tcPr>
          <w:p>
            <w:pPr>
              <w:spacing w:line="240" w:lineRule="auto"/>
              <w:ind w:firstLine="0" w:firstLineChars="0"/>
              <w:jc w:val="center"/>
              <w:rPr>
                <w:rFonts w:eastAsia="宋体"/>
                <w:color w:val="auto"/>
                <w:sz w:val="21"/>
              </w:rPr>
            </w:pPr>
            <w:r>
              <w:rPr>
                <w:rFonts w:eastAsia="宋体"/>
                <w:color w:val="auto"/>
                <w:sz w:val="21"/>
              </w:rPr>
              <w:t>相对复杂</w:t>
            </w:r>
          </w:p>
        </w:tc>
        <w:tc>
          <w:tcPr>
            <w:tcW w:w="1420" w:type="dxa"/>
            <w:vAlign w:val="center"/>
          </w:tcPr>
          <w:p>
            <w:pPr>
              <w:spacing w:line="240" w:lineRule="auto"/>
              <w:ind w:firstLine="0" w:firstLineChars="0"/>
              <w:jc w:val="center"/>
              <w:rPr>
                <w:rFonts w:eastAsia="宋体"/>
                <w:color w:val="auto"/>
                <w:sz w:val="21"/>
              </w:rPr>
            </w:pPr>
            <w:r>
              <w:rPr>
                <w:rFonts w:eastAsia="宋体"/>
                <w:color w:val="auto"/>
                <w:sz w:val="21"/>
              </w:rPr>
              <w:t>方案1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vAlign w:val="center"/>
          </w:tcPr>
          <w:p>
            <w:pPr>
              <w:spacing w:line="240" w:lineRule="auto"/>
              <w:ind w:firstLine="0" w:firstLineChars="0"/>
              <w:jc w:val="center"/>
              <w:rPr>
                <w:rFonts w:eastAsia="宋体"/>
                <w:color w:val="auto"/>
                <w:sz w:val="21"/>
              </w:rPr>
            </w:pPr>
            <w:r>
              <w:rPr>
                <w:rFonts w:eastAsia="宋体"/>
                <w:color w:val="auto"/>
                <w:sz w:val="21"/>
              </w:rPr>
              <w:t>处理效果</w:t>
            </w:r>
          </w:p>
        </w:tc>
        <w:tc>
          <w:tcPr>
            <w:tcW w:w="1419" w:type="dxa"/>
            <w:vAlign w:val="center"/>
          </w:tcPr>
          <w:p>
            <w:pPr>
              <w:spacing w:line="240" w:lineRule="auto"/>
              <w:ind w:firstLine="0" w:firstLineChars="0"/>
              <w:jc w:val="center"/>
              <w:rPr>
                <w:rFonts w:eastAsia="宋体"/>
                <w:color w:val="auto"/>
                <w:sz w:val="21"/>
              </w:rPr>
            </w:pPr>
            <w:r>
              <w:rPr>
                <w:rFonts w:eastAsia="宋体"/>
                <w:color w:val="auto"/>
                <w:sz w:val="21"/>
              </w:rPr>
              <w:t>稳定</w:t>
            </w:r>
          </w:p>
        </w:tc>
        <w:tc>
          <w:tcPr>
            <w:tcW w:w="1419" w:type="dxa"/>
            <w:vAlign w:val="center"/>
          </w:tcPr>
          <w:p>
            <w:pPr>
              <w:spacing w:line="240" w:lineRule="auto"/>
              <w:ind w:firstLine="0" w:firstLineChars="0"/>
              <w:jc w:val="center"/>
              <w:rPr>
                <w:rFonts w:eastAsia="宋体"/>
                <w:color w:val="auto"/>
                <w:sz w:val="21"/>
              </w:rPr>
            </w:pPr>
            <w:r>
              <w:rPr>
                <w:rFonts w:eastAsia="宋体"/>
                <w:color w:val="auto"/>
                <w:sz w:val="21"/>
              </w:rPr>
              <w:t>稳定</w:t>
            </w:r>
          </w:p>
        </w:tc>
        <w:tc>
          <w:tcPr>
            <w:tcW w:w="1420" w:type="dxa"/>
            <w:vAlign w:val="center"/>
          </w:tcPr>
          <w:p>
            <w:pPr>
              <w:spacing w:line="240" w:lineRule="auto"/>
              <w:ind w:firstLine="0" w:firstLineChars="0"/>
              <w:jc w:val="center"/>
              <w:rPr>
                <w:rFonts w:eastAsia="宋体"/>
                <w:color w:val="auto"/>
                <w:sz w:val="21"/>
              </w:rPr>
            </w:pPr>
            <w:r>
              <w:rPr>
                <w:rFonts w:eastAsia="宋体"/>
                <w:color w:val="auto"/>
                <w:sz w:val="21"/>
              </w:rPr>
              <w:t>稳定</w:t>
            </w:r>
          </w:p>
        </w:tc>
        <w:tc>
          <w:tcPr>
            <w:tcW w:w="1420" w:type="dxa"/>
            <w:vAlign w:val="center"/>
          </w:tcPr>
          <w:p>
            <w:pPr>
              <w:spacing w:line="240" w:lineRule="auto"/>
              <w:ind w:firstLine="0" w:firstLineChars="0"/>
              <w:jc w:val="center"/>
              <w:rPr>
                <w:rFonts w:eastAsia="宋体"/>
                <w:color w:val="auto"/>
                <w:sz w:val="21"/>
              </w:rPr>
            </w:pPr>
            <w:r>
              <w:rPr>
                <w:rFonts w:eastAsia="宋体"/>
                <w:color w:val="auto"/>
                <w:sz w:val="21"/>
              </w:rPr>
              <w:t>稳定</w:t>
            </w:r>
          </w:p>
        </w:tc>
        <w:tc>
          <w:tcPr>
            <w:tcW w:w="1420" w:type="dxa"/>
            <w:vAlign w:val="center"/>
          </w:tcPr>
          <w:p>
            <w:pPr>
              <w:spacing w:line="240" w:lineRule="auto"/>
              <w:ind w:firstLine="0" w:firstLineChars="0"/>
              <w:jc w:val="center"/>
              <w:rPr>
                <w:rFonts w:eastAsia="宋体"/>
                <w:color w:val="auto"/>
                <w:sz w:val="21"/>
              </w:rPr>
            </w:pPr>
            <w:r>
              <w:rPr>
                <w:rFonts w:eastAsia="宋体"/>
                <w:color w:val="auto"/>
                <w:sz w:val="21"/>
              </w:rPr>
              <w:t>方案1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vAlign w:val="center"/>
          </w:tcPr>
          <w:p>
            <w:pPr>
              <w:spacing w:line="240" w:lineRule="auto"/>
              <w:ind w:firstLine="0" w:firstLineChars="0"/>
              <w:jc w:val="center"/>
              <w:rPr>
                <w:rFonts w:eastAsia="宋体"/>
                <w:color w:val="auto"/>
                <w:sz w:val="21"/>
              </w:rPr>
            </w:pPr>
            <w:r>
              <w:rPr>
                <w:rFonts w:eastAsia="宋体"/>
                <w:color w:val="auto"/>
                <w:sz w:val="21"/>
              </w:rPr>
              <w:t>出水水质</w:t>
            </w:r>
          </w:p>
        </w:tc>
        <w:tc>
          <w:tcPr>
            <w:tcW w:w="1419" w:type="dxa"/>
            <w:vAlign w:val="center"/>
          </w:tcPr>
          <w:p>
            <w:pPr>
              <w:spacing w:line="240" w:lineRule="auto"/>
              <w:ind w:firstLine="0" w:firstLineChars="0"/>
              <w:jc w:val="center"/>
              <w:rPr>
                <w:rFonts w:eastAsia="宋体"/>
                <w:color w:val="auto"/>
                <w:sz w:val="21"/>
              </w:rPr>
            </w:pPr>
            <w:r>
              <w:rPr>
                <w:rFonts w:eastAsia="宋体"/>
                <w:color w:val="auto"/>
                <w:sz w:val="21"/>
              </w:rPr>
              <w:t>远超标准</w:t>
            </w:r>
          </w:p>
        </w:tc>
        <w:tc>
          <w:tcPr>
            <w:tcW w:w="1419" w:type="dxa"/>
            <w:vAlign w:val="center"/>
          </w:tcPr>
          <w:p>
            <w:pPr>
              <w:spacing w:line="240" w:lineRule="auto"/>
              <w:ind w:firstLine="0" w:firstLineChars="0"/>
              <w:jc w:val="center"/>
              <w:rPr>
                <w:rFonts w:eastAsia="宋体"/>
                <w:color w:val="auto"/>
                <w:sz w:val="21"/>
              </w:rPr>
            </w:pPr>
            <w:r>
              <w:rPr>
                <w:rFonts w:eastAsia="宋体"/>
                <w:color w:val="auto"/>
                <w:sz w:val="21"/>
              </w:rPr>
              <w:t>达标</w:t>
            </w:r>
          </w:p>
        </w:tc>
        <w:tc>
          <w:tcPr>
            <w:tcW w:w="1420" w:type="dxa"/>
            <w:vAlign w:val="center"/>
          </w:tcPr>
          <w:p>
            <w:pPr>
              <w:spacing w:line="240" w:lineRule="auto"/>
              <w:ind w:firstLine="0" w:firstLineChars="0"/>
              <w:jc w:val="center"/>
              <w:rPr>
                <w:rFonts w:eastAsia="宋体"/>
                <w:color w:val="auto"/>
                <w:sz w:val="21"/>
              </w:rPr>
            </w:pPr>
            <w:r>
              <w:rPr>
                <w:rFonts w:eastAsia="宋体"/>
                <w:color w:val="auto"/>
                <w:sz w:val="21"/>
              </w:rPr>
              <w:t>达标</w:t>
            </w:r>
          </w:p>
        </w:tc>
        <w:tc>
          <w:tcPr>
            <w:tcW w:w="1420" w:type="dxa"/>
            <w:vAlign w:val="center"/>
          </w:tcPr>
          <w:p>
            <w:pPr>
              <w:spacing w:line="240" w:lineRule="auto"/>
              <w:ind w:firstLine="0" w:firstLineChars="0"/>
              <w:jc w:val="center"/>
              <w:rPr>
                <w:rFonts w:eastAsia="宋体"/>
                <w:color w:val="auto"/>
                <w:sz w:val="21"/>
              </w:rPr>
            </w:pPr>
            <w:r>
              <w:rPr>
                <w:rFonts w:eastAsia="宋体"/>
                <w:color w:val="auto"/>
                <w:sz w:val="21"/>
              </w:rPr>
              <w:t>达标</w:t>
            </w:r>
          </w:p>
        </w:tc>
        <w:tc>
          <w:tcPr>
            <w:tcW w:w="1420" w:type="dxa"/>
            <w:vAlign w:val="center"/>
          </w:tcPr>
          <w:p>
            <w:pPr>
              <w:spacing w:line="240" w:lineRule="auto"/>
              <w:ind w:firstLine="0" w:firstLineChars="0"/>
              <w:jc w:val="center"/>
              <w:rPr>
                <w:rFonts w:eastAsia="宋体"/>
                <w:color w:val="auto"/>
                <w:sz w:val="21"/>
              </w:rPr>
            </w:pPr>
            <w:r>
              <w:rPr>
                <w:rFonts w:eastAsia="宋体"/>
                <w:color w:val="auto"/>
                <w:sz w:val="21"/>
              </w:rPr>
              <w:t>方案1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298" w:type="dxa"/>
            <w:vAlign w:val="center"/>
          </w:tcPr>
          <w:p>
            <w:pPr>
              <w:spacing w:line="240" w:lineRule="auto"/>
              <w:ind w:firstLine="0" w:firstLineChars="0"/>
              <w:jc w:val="center"/>
              <w:rPr>
                <w:rFonts w:eastAsia="宋体"/>
                <w:color w:val="auto"/>
                <w:sz w:val="21"/>
              </w:rPr>
            </w:pPr>
            <w:r>
              <w:rPr>
                <w:rFonts w:eastAsia="宋体"/>
                <w:color w:val="auto"/>
                <w:sz w:val="21"/>
              </w:rPr>
              <w:t>抗冲击负荷能力</w:t>
            </w:r>
          </w:p>
        </w:tc>
        <w:tc>
          <w:tcPr>
            <w:tcW w:w="1419" w:type="dxa"/>
            <w:vAlign w:val="center"/>
          </w:tcPr>
          <w:p>
            <w:pPr>
              <w:spacing w:line="240" w:lineRule="auto"/>
              <w:ind w:firstLine="0" w:firstLineChars="0"/>
              <w:jc w:val="center"/>
              <w:rPr>
                <w:rFonts w:eastAsia="宋体"/>
                <w:color w:val="auto"/>
                <w:sz w:val="21"/>
              </w:rPr>
            </w:pPr>
            <w:r>
              <w:rPr>
                <w:rFonts w:eastAsia="宋体"/>
                <w:color w:val="auto"/>
                <w:sz w:val="21"/>
              </w:rPr>
              <w:t>强</w:t>
            </w:r>
          </w:p>
        </w:tc>
        <w:tc>
          <w:tcPr>
            <w:tcW w:w="1419" w:type="dxa"/>
            <w:vAlign w:val="center"/>
          </w:tcPr>
          <w:p>
            <w:pPr>
              <w:spacing w:line="240" w:lineRule="auto"/>
              <w:ind w:firstLine="0" w:firstLineChars="0"/>
              <w:jc w:val="center"/>
              <w:rPr>
                <w:rFonts w:eastAsia="宋体"/>
                <w:color w:val="auto"/>
                <w:sz w:val="21"/>
              </w:rPr>
            </w:pPr>
            <w:r>
              <w:rPr>
                <w:rFonts w:eastAsia="宋体"/>
                <w:color w:val="auto"/>
                <w:sz w:val="21"/>
              </w:rPr>
              <w:t>强</w:t>
            </w:r>
          </w:p>
        </w:tc>
        <w:tc>
          <w:tcPr>
            <w:tcW w:w="1420" w:type="dxa"/>
            <w:vAlign w:val="center"/>
          </w:tcPr>
          <w:p>
            <w:pPr>
              <w:spacing w:line="240" w:lineRule="auto"/>
              <w:ind w:firstLine="0" w:firstLineChars="0"/>
              <w:jc w:val="center"/>
              <w:rPr>
                <w:rFonts w:eastAsia="宋体"/>
                <w:color w:val="auto"/>
                <w:sz w:val="21"/>
              </w:rPr>
            </w:pPr>
            <w:r>
              <w:rPr>
                <w:rFonts w:eastAsia="宋体"/>
                <w:color w:val="auto"/>
                <w:sz w:val="21"/>
              </w:rPr>
              <w:t>强</w:t>
            </w:r>
          </w:p>
        </w:tc>
        <w:tc>
          <w:tcPr>
            <w:tcW w:w="1420" w:type="dxa"/>
            <w:vAlign w:val="center"/>
          </w:tcPr>
          <w:p>
            <w:pPr>
              <w:spacing w:line="240" w:lineRule="auto"/>
              <w:ind w:firstLine="0" w:firstLineChars="0"/>
              <w:jc w:val="center"/>
              <w:rPr>
                <w:rFonts w:eastAsia="宋体"/>
                <w:color w:val="auto"/>
                <w:sz w:val="21"/>
              </w:rPr>
            </w:pPr>
            <w:r>
              <w:rPr>
                <w:rFonts w:eastAsia="宋体"/>
                <w:color w:val="auto"/>
                <w:sz w:val="21"/>
              </w:rPr>
              <w:t>强</w:t>
            </w:r>
          </w:p>
        </w:tc>
        <w:tc>
          <w:tcPr>
            <w:tcW w:w="1420" w:type="dxa"/>
            <w:vAlign w:val="center"/>
          </w:tcPr>
          <w:p>
            <w:pPr>
              <w:spacing w:line="240" w:lineRule="auto"/>
              <w:ind w:firstLine="0" w:firstLineChars="0"/>
              <w:jc w:val="center"/>
              <w:rPr>
                <w:rFonts w:eastAsia="宋体"/>
                <w:color w:val="auto"/>
                <w:sz w:val="21"/>
              </w:rPr>
            </w:pPr>
            <w:r>
              <w:rPr>
                <w:rFonts w:eastAsia="宋体"/>
                <w:color w:val="auto"/>
                <w:sz w:val="21"/>
              </w:rPr>
              <w:t>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vAlign w:val="center"/>
          </w:tcPr>
          <w:p>
            <w:pPr>
              <w:spacing w:line="240" w:lineRule="auto"/>
              <w:ind w:firstLine="0" w:firstLineChars="0"/>
              <w:jc w:val="center"/>
              <w:rPr>
                <w:rFonts w:eastAsia="宋体"/>
                <w:color w:val="auto"/>
                <w:sz w:val="21"/>
              </w:rPr>
            </w:pPr>
            <w:r>
              <w:rPr>
                <w:rFonts w:eastAsia="宋体"/>
                <w:color w:val="auto"/>
                <w:sz w:val="21"/>
              </w:rPr>
              <w:t>自制要求</w:t>
            </w:r>
          </w:p>
        </w:tc>
        <w:tc>
          <w:tcPr>
            <w:tcW w:w="1419" w:type="dxa"/>
            <w:vAlign w:val="center"/>
          </w:tcPr>
          <w:p>
            <w:pPr>
              <w:spacing w:line="240" w:lineRule="auto"/>
              <w:ind w:firstLine="0" w:firstLineChars="0"/>
              <w:jc w:val="center"/>
              <w:rPr>
                <w:rFonts w:eastAsia="宋体"/>
                <w:color w:val="auto"/>
                <w:sz w:val="21"/>
              </w:rPr>
            </w:pPr>
            <w:r>
              <w:rPr>
                <w:rFonts w:eastAsia="宋体"/>
                <w:color w:val="auto"/>
                <w:sz w:val="21"/>
              </w:rPr>
              <w:t>较高</w:t>
            </w:r>
          </w:p>
        </w:tc>
        <w:tc>
          <w:tcPr>
            <w:tcW w:w="1419" w:type="dxa"/>
            <w:vAlign w:val="center"/>
          </w:tcPr>
          <w:p>
            <w:pPr>
              <w:spacing w:line="240" w:lineRule="auto"/>
              <w:ind w:firstLine="0" w:firstLineChars="0"/>
              <w:jc w:val="center"/>
              <w:rPr>
                <w:rFonts w:eastAsia="宋体"/>
                <w:color w:val="auto"/>
                <w:sz w:val="21"/>
              </w:rPr>
            </w:pPr>
            <w:r>
              <w:rPr>
                <w:rFonts w:eastAsia="宋体"/>
                <w:color w:val="auto"/>
                <w:sz w:val="21"/>
              </w:rPr>
              <w:t>一般</w:t>
            </w:r>
          </w:p>
        </w:tc>
        <w:tc>
          <w:tcPr>
            <w:tcW w:w="1420" w:type="dxa"/>
            <w:vAlign w:val="center"/>
          </w:tcPr>
          <w:p>
            <w:pPr>
              <w:spacing w:line="240" w:lineRule="auto"/>
              <w:ind w:firstLine="0" w:firstLineChars="0"/>
              <w:jc w:val="center"/>
              <w:rPr>
                <w:rFonts w:eastAsia="宋体"/>
                <w:color w:val="auto"/>
                <w:sz w:val="21"/>
              </w:rPr>
            </w:pPr>
            <w:r>
              <w:rPr>
                <w:rFonts w:eastAsia="宋体"/>
                <w:color w:val="auto"/>
                <w:sz w:val="21"/>
              </w:rPr>
              <w:t>一般</w:t>
            </w:r>
          </w:p>
        </w:tc>
        <w:tc>
          <w:tcPr>
            <w:tcW w:w="1420" w:type="dxa"/>
            <w:vAlign w:val="center"/>
          </w:tcPr>
          <w:p>
            <w:pPr>
              <w:spacing w:line="240" w:lineRule="auto"/>
              <w:ind w:firstLine="0" w:firstLineChars="0"/>
              <w:jc w:val="center"/>
              <w:rPr>
                <w:rFonts w:eastAsia="宋体"/>
                <w:color w:val="auto"/>
                <w:sz w:val="21"/>
              </w:rPr>
            </w:pPr>
            <w:r>
              <w:rPr>
                <w:rFonts w:eastAsia="宋体"/>
                <w:color w:val="auto"/>
                <w:sz w:val="21"/>
              </w:rPr>
              <w:t>一般</w:t>
            </w:r>
          </w:p>
        </w:tc>
        <w:tc>
          <w:tcPr>
            <w:tcW w:w="1420" w:type="dxa"/>
            <w:vAlign w:val="center"/>
          </w:tcPr>
          <w:p>
            <w:pPr>
              <w:spacing w:line="240" w:lineRule="auto"/>
              <w:ind w:firstLine="0" w:firstLineChars="0"/>
              <w:jc w:val="center"/>
              <w:rPr>
                <w:rFonts w:eastAsia="宋体"/>
                <w:color w:val="auto"/>
                <w:sz w:val="21"/>
              </w:rPr>
            </w:pPr>
            <w:r>
              <w:rPr>
                <w:rFonts w:eastAsia="宋体"/>
                <w:color w:val="auto"/>
                <w:sz w:val="21"/>
              </w:rPr>
              <w:t>方案1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vAlign w:val="center"/>
          </w:tcPr>
          <w:p>
            <w:pPr>
              <w:spacing w:line="240" w:lineRule="auto"/>
              <w:ind w:firstLine="0" w:firstLineChars="0"/>
              <w:jc w:val="center"/>
              <w:rPr>
                <w:rFonts w:eastAsia="宋体"/>
                <w:color w:val="auto"/>
                <w:sz w:val="21"/>
              </w:rPr>
            </w:pPr>
            <w:r>
              <w:rPr>
                <w:rFonts w:eastAsia="宋体"/>
                <w:color w:val="auto"/>
                <w:sz w:val="21"/>
              </w:rPr>
              <w:t>运行维护</w:t>
            </w:r>
          </w:p>
        </w:tc>
        <w:tc>
          <w:tcPr>
            <w:tcW w:w="1419" w:type="dxa"/>
            <w:vAlign w:val="center"/>
          </w:tcPr>
          <w:p>
            <w:pPr>
              <w:spacing w:line="240" w:lineRule="auto"/>
              <w:ind w:firstLine="0" w:firstLineChars="0"/>
              <w:jc w:val="center"/>
              <w:rPr>
                <w:rFonts w:eastAsia="宋体"/>
                <w:color w:val="auto"/>
                <w:sz w:val="21"/>
              </w:rPr>
            </w:pPr>
            <w:r>
              <w:rPr>
                <w:rFonts w:eastAsia="宋体"/>
                <w:color w:val="auto"/>
                <w:sz w:val="21"/>
              </w:rPr>
              <w:t>简单</w:t>
            </w:r>
          </w:p>
        </w:tc>
        <w:tc>
          <w:tcPr>
            <w:tcW w:w="1419" w:type="dxa"/>
            <w:vAlign w:val="center"/>
          </w:tcPr>
          <w:p>
            <w:pPr>
              <w:spacing w:line="240" w:lineRule="auto"/>
              <w:ind w:firstLine="0" w:firstLineChars="0"/>
              <w:jc w:val="center"/>
              <w:rPr>
                <w:rFonts w:eastAsia="宋体"/>
                <w:color w:val="auto"/>
                <w:sz w:val="21"/>
              </w:rPr>
            </w:pPr>
            <w:r>
              <w:rPr>
                <w:rFonts w:eastAsia="宋体"/>
                <w:color w:val="auto"/>
                <w:sz w:val="21"/>
              </w:rPr>
              <w:t>相对复杂</w:t>
            </w:r>
          </w:p>
        </w:tc>
        <w:tc>
          <w:tcPr>
            <w:tcW w:w="1420" w:type="dxa"/>
            <w:vAlign w:val="center"/>
          </w:tcPr>
          <w:p>
            <w:pPr>
              <w:spacing w:line="240" w:lineRule="auto"/>
              <w:ind w:firstLine="0" w:firstLineChars="0"/>
              <w:jc w:val="center"/>
              <w:rPr>
                <w:rFonts w:eastAsia="宋体"/>
                <w:color w:val="auto"/>
                <w:sz w:val="21"/>
              </w:rPr>
            </w:pPr>
            <w:r>
              <w:rPr>
                <w:rFonts w:eastAsia="宋体"/>
                <w:color w:val="auto"/>
                <w:sz w:val="21"/>
              </w:rPr>
              <w:t>相对复杂</w:t>
            </w:r>
          </w:p>
        </w:tc>
        <w:tc>
          <w:tcPr>
            <w:tcW w:w="1420" w:type="dxa"/>
            <w:vAlign w:val="center"/>
          </w:tcPr>
          <w:p>
            <w:pPr>
              <w:spacing w:line="240" w:lineRule="auto"/>
              <w:ind w:firstLine="0" w:firstLineChars="0"/>
              <w:jc w:val="center"/>
              <w:rPr>
                <w:rFonts w:eastAsia="宋体"/>
                <w:color w:val="auto"/>
                <w:sz w:val="21"/>
              </w:rPr>
            </w:pPr>
            <w:r>
              <w:rPr>
                <w:rFonts w:eastAsia="宋体"/>
                <w:color w:val="auto"/>
                <w:sz w:val="21"/>
              </w:rPr>
              <w:t>相对复杂</w:t>
            </w:r>
          </w:p>
        </w:tc>
        <w:tc>
          <w:tcPr>
            <w:tcW w:w="1420" w:type="dxa"/>
            <w:vAlign w:val="center"/>
          </w:tcPr>
          <w:p>
            <w:pPr>
              <w:spacing w:line="240" w:lineRule="auto"/>
              <w:ind w:firstLine="0" w:firstLineChars="0"/>
              <w:jc w:val="center"/>
              <w:rPr>
                <w:rFonts w:eastAsia="宋体"/>
                <w:color w:val="auto"/>
                <w:sz w:val="21"/>
              </w:rPr>
            </w:pPr>
            <w:r>
              <w:rPr>
                <w:rFonts w:eastAsia="宋体"/>
                <w:color w:val="auto"/>
                <w:sz w:val="21"/>
              </w:rPr>
              <w:t>方案2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vAlign w:val="center"/>
          </w:tcPr>
          <w:p>
            <w:pPr>
              <w:spacing w:line="240" w:lineRule="auto"/>
              <w:ind w:firstLine="0" w:firstLineChars="0"/>
              <w:jc w:val="center"/>
              <w:rPr>
                <w:rFonts w:eastAsia="宋体"/>
                <w:color w:val="auto"/>
                <w:sz w:val="21"/>
              </w:rPr>
            </w:pPr>
            <w:r>
              <w:rPr>
                <w:rFonts w:eastAsia="宋体"/>
                <w:color w:val="auto"/>
                <w:sz w:val="21"/>
              </w:rPr>
              <w:t>运行电耗</w:t>
            </w:r>
          </w:p>
        </w:tc>
        <w:tc>
          <w:tcPr>
            <w:tcW w:w="1419" w:type="dxa"/>
            <w:vAlign w:val="center"/>
          </w:tcPr>
          <w:p>
            <w:pPr>
              <w:spacing w:line="240" w:lineRule="auto"/>
              <w:ind w:firstLine="0" w:firstLineChars="0"/>
              <w:jc w:val="center"/>
              <w:rPr>
                <w:rFonts w:eastAsia="宋体"/>
                <w:color w:val="auto"/>
                <w:sz w:val="21"/>
              </w:rPr>
            </w:pPr>
            <w:r>
              <w:rPr>
                <w:rFonts w:eastAsia="宋体"/>
                <w:color w:val="auto"/>
                <w:sz w:val="21"/>
              </w:rPr>
              <w:t>偏高</w:t>
            </w:r>
          </w:p>
        </w:tc>
        <w:tc>
          <w:tcPr>
            <w:tcW w:w="1419" w:type="dxa"/>
            <w:vAlign w:val="center"/>
          </w:tcPr>
          <w:p>
            <w:pPr>
              <w:spacing w:line="240" w:lineRule="auto"/>
              <w:ind w:firstLine="0" w:firstLineChars="0"/>
              <w:jc w:val="center"/>
              <w:rPr>
                <w:rFonts w:eastAsia="宋体"/>
                <w:color w:val="auto"/>
                <w:sz w:val="21"/>
              </w:rPr>
            </w:pPr>
            <w:r>
              <w:rPr>
                <w:rFonts w:eastAsia="宋体"/>
                <w:color w:val="auto"/>
                <w:sz w:val="21"/>
              </w:rPr>
              <w:t>偏低</w:t>
            </w:r>
          </w:p>
        </w:tc>
        <w:tc>
          <w:tcPr>
            <w:tcW w:w="1420" w:type="dxa"/>
            <w:vAlign w:val="center"/>
          </w:tcPr>
          <w:p>
            <w:pPr>
              <w:spacing w:line="240" w:lineRule="auto"/>
              <w:ind w:firstLine="0" w:firstLineChars="0"/>
              <w:jc w:val="center"/>
              <w:rPr>
                <w:rFonts w:eastAsia="宋体"/>
                <w:color w:val="auto"/>
                <w:sz w:val="21"/>
              </w:rPr>
            </w:pPr>
            <w:r>
              <w:rPr>
                <w:rFonts w:eastAsia="宋体"/>
                <w:color w:val="auto"/>
                <w:sz w:val="21"/>
              </w:rPr>
              <w:t>一般</w:t>
            </w:r>
          </w:p>
        </w:tc>
        <w:tc>
          <w:tcPr>
            <w:tcW w:w="1420" w:type="dxa"/>
            <w:vAlign w:val="center"/>
          </w:tcPr>
          <w:p>
            <w:pPr>
              <w:spacing w:line="240" w:lineRule="auto"/>
              <w:ind w:firstLine="0" w:firstLineChars="0"/>
              <w:jc w:val="center"/>
              <w:rPr>
                <w:rFonts w:eastAsia="宋体"/>
                <w:color w:val="auto"/>
                <w:sz w:val="21"/>
              </w:rPr>
            </w:pPr>
            <w:r>
              <w:rPr>
                <w:rFonts w:eastAsia="宋体"/>
                <w:color w:val="auto"/>
                <w:sz w:val="21"/>
              </w:rPr>
              <w:t>一般</w:t>
            </w:r>
          </w:p>
        </w:tc>
        <w:tc>
          <w:tcPr>
            <w:tcW w:w="1420" w:type="dxa"/>
            <w:vAlign w:val="center"/>
          </w:tcPr>
          <w:p>
            <w:pPr>
              <w:spacing w:line="240" w:lineRule="auto"/>
              <w:ind w:firstLine="0" w:firstLineChars="0"/>
              <w:jc w:val="center"/>
              <w:rPr>
                <w:rFonts w:eastAsia="宋体"/>
                <w:color w:val="auto"/>
                <w:sz w:val="21"/>
              </w:rPr>
            </w:pPr>
            <w:r>
              <w:rPr>
                <w:rFonts w:eastAsia="宋体"/>
                <w:color w:val="auto"/>
                <w:sz w:val="21"/>
              </w:rPr>
              <w:t>方案2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vAlign w:val="center"/>
          </w:tcPr>
          <w:p>
            <w:pPr>
              <w:spacing w:line="240" w:lineRule="auto"/>
              <w:ind w:firstLine="0" w:firstLineChars="0"/>
              <w:jc w:val="center"/>
              <w:rPr>
                <w:rFonts w:eastAsia="宋体"/>
                <w:color w:val="auto"/>
                <w:sz w:val="21"/>
              </w:rPr>
            </w:pPr>
            <w:r>
              <w:rPr>
                <w:rFonts w:eastAsia="宋体"/>
                <w:color w:val="auto"/>
                <w:sz w:val="21"/>
              </w:rPr>
              <w:t>一次投资</w:t>
            </w:r>
          </w:p>
        </w:tc>
        <w:tc>
          <w:tcPr>
            <w:tcW w:w="1419" w:type="dxa"/>
            <w:vAlign w:val="center"/>
          </w:tcPr>
          <w:p>
            <w:pPr>
              <w:spacing w:line="240" w:lineRule="auto"/>
              <w:ind w:firstLine="0" w:firstLineChars="0"/>
              <w:jc w:val="center"/>
              <w:rPr>
                <w:rFonts w:eastAsia="宋体"/>
                <w:color w:val="auto"/>
                <w:sz w:val="21"/>
              </w:rPr>
            </w:pPr>
            <w:r>
              <w:rPr>
                <w:rFonts w:eastAsia="宋体"/>
                <w:color w:val="auto"/>
                <w:sz w:val="21"/>
              </w:rPr>
              <w:t>少</w:t>
            </w:r>
          </w:p>
        </w:tc>
        <w:tc>
          <w:tcPr>
            <w:tcW w:w="1419" w:type="dxa"/>
            <w:vAlign w:val="center"/>
          </w:tcPr>
          <w:p>
            <w:pPr>
              <w:spacing w:line="240" w:lineRule="auto"/>
              <w:ind w:firstLine="0" w:firstLineChars="0"/>
              <w:jc w:val="center"/>
              <w:rPr>
                <w:rFonts w:eastAsia="宋体"/>
                <w:color w:val="auto"/>
                <w:sz w:val="21"/>
              </w:rPr>
            </w:pPr>
            <w:r>
              <w:rPr>
                <w:rFonts w:eastAsia="宋体"/>
                <w:color w:val="auto"/>
                <w:sz w:val="21"/>
              </w:rPr>
              <w:t>较少</w:t>
            </w:r>
          </w:p>
        </w:tc>
        <w:tc>
          <w:tcPr>
            <w:tcW w:w="1420" w:type="dxa"/>
            <w:vAlign w:val="center"/>
          </w:tcPr>
          <w:p>
            <w:pPr>
              <w:spacing w:line="240" w:lineRule="auto"/>
              <w:ind w:firstLine="0" w:firstLineChars="0"/>
              <w:jc w:val="center"/>
              <w:rPr>
                <w:rFonts w:eastAsia="宋体"/>
                <w:color w:val="auto"/>
                <w:sz w:val="21"/>
              </w:rPr>
            </w:pPr>
            <w:r>
              <w:rPr>
                <w:rFonts w:eastAsia="宋体"/>
                <w:color w:val="auto"/>
                <w:sz w:val="21"/>
              </w:rPr>
              <w:t>较少</w:t>
            </w:r>
          </w:p>
        </w:tc>
        <w:tc>
          <w:tcPr>
            <w:tcW w:w="1420" w:type="dxa"/>
            <w:vAlign w:val="center"/>
          </w:tcPr>
          <w:p>
            <w:pPr>
              <w:spacing w:line="240" w:lineRule="auto"/>
              <w:ind w:firstLine="0" w:firstLineChars="0"/>
              <w:jc w:val="center"/>
              <w:rPr>
                <w:rFonts w:eastAsia="宋体"/>
                <w:color w:val="auto"/>
                <w:sz w:val="21"/>
              </w:rPr>
            </w:pPr>
            <w:r>
              <w:rPr>
                <w:rFonts w:eastAsia="宋体"/>
                <w:color w:val="auto"/>
                <w:sz w:val="21"/>
              </w:rPr>
              <w:t>较少</w:t>
            </w:r>
          </w:p>
        </w:tc>
        <w:tc>
          <w:tcPr>
            <w:tcW w:w="1420" w:type="dxa"/>
            <w:vAlign w:val="center"/>
          </w:tcPr>
          <w:p>
            <w:pPr>
              <w:spacing w:line="240" w:lineRule="auto"/>
              <w:ind w:firstLine="0" w:firstLineChars="0"/>
              <w:jc w:val="center"/>
              <w:rPr>
                <w:rFonts w:eastAsia="宋体"/>
                <w:color w:val="auto"/>
                <w:sz w:val="21"/>
              </w:rPr>
            </w:pPr>
            <w:r>
              <w:rPr>
                <w:rFonts w:eastAsia="宋体"/>
                <w:color w:val="auto"/>
                <w:sz w:val="21"/>
              </w:rPr>
              <w:t>方案1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vAlign w:val="center"/>
          </w:tcPr>
          <w:p>
            <w:pPr>
              <w:spacing w:line="240" w:lineRule="auto"/>
              <w:ind w:firstLine="0" w:firstLineChars="0"/>
              <w:jc w:val="center"/>
              <w:rPr>
                <w:rFonts w:eastAsia="宋体"/>
                <w:color w:val="auto"/>
                <w:sz w:val="21"/>
              </w:rPr>
            </w:pPr>
            <w:r>
              <w:rPr>
                <w:rFonts w:eastAsia="宋体"/>
                <w:color w:val="auto"/>
                <w:sz w:val="21"/>
              </w:rPr>
              <w:t>占地面积</w:t>
            </w:r>
          </w:p>
        </w:tc>
        <w:tc>
          <w:tcPr>
            <w:tcW w:w="1419" w:type="dxa"/>
            <w:vAlign w:val="center"/>
          </w:tcPr>
          <w:p>
            <w:pPr>
              <w:spacing w:line="240" w:lineRule="auto"/>
              <w:ind w:firstLine="0" w:firstLineChars="0"/>
              <w:jc w:val="center"/>
              <w:rPr>
                <w:rFonts w:eastAsia="宋体"/>
                <w:color w:val="auto"/>
                <w:sz w:val="21"/>
              </w:rPr>
            </w:pPr>
            <w:r>
              <w:rPr>
                <w:rFonts w:eastAsia="宋体"/>
                <w:color w:val="auto"/>
                <w:sz w:val="21"/>
              </w:rPr>
              <w:t>小</w:t>
            </w:r>
          </w:p>
        </w:tc>
        <w:tc>
          <w:tcPr>
            <w:tcW w:w="1419" w:type="dxa"/>
            <w:vAlign w:val="center"/>
          </w:tcPr>
          <w:p>
            <w:pPr>
              <w:spacing w:line="240" w:lineRule="auto"/>
              <w:ind w:firstLine="0" w:firstLineChars="0"/>
              <w:jc w:val="center"/>
              <w:rPr>
                <w:rFonts w:eastAsia="宋体"/>
                <w:color w:val="auto"/>
                <w:sz w:val="21"/>
              </w:rPr>
            </w:pPr>
            <w:r>
              <w:rPr>
                <w:rFonts w:eastAsia="宋体"/>
                <w:color w:val="auto"/>
                <w:sz w:val="21"/>
              </w:rPr>
              <w:t>大</w:t>
            </w:r>
          </w:p>
        </w:tc>
        <w:tc>
          <w:tcPr>
            <w:tcW w:w="1420" w:type="dxa"/>
            <w:vAlign w:val="center"/>
          </w:tcPr>
          <w:p>
            <w:pPr>
              <w:spacing w:line="240" w:lineRule="auto"/>
              <w:ind w:firstLine="0" w:firstLineChars="0"/>
              <w:jc w:val="center"/>
              <w:rPr>
                <w:rFonts w:eastAsia="宋体"/>
                <w:color w:val="auto"/>
                <w:sz w:val="21"/>
              </w:rPr>
            </w:pPr>
            <w:r>
              <w:rPr>
                <w:rFonts w:eastAsia="宋体"/>
                <w:color w:val="auto"/>
                <w:sz w:val="21"/>
              </w:rPr>
              <w:t>大</w:t>
            </w:r>
          </w:p>
        </w:tc>
        <w:tc>
          <w:tcPr>
            <w:tcW w:w="1420" w:type="dxa"/>
            <w:vAlign w:val="center"/>
          </w:tcPr>
          <w:p>
            <w:pPr>
              <w:spacing w:line="240" w:lineRule="auto"/>
              <w:ind w:firstLine="0" w:firstLineChars="0"/>
              <w:jc w:val="center"/>
              <w:rPr>
                <w:rFonts w:eastAsia="宋体"/>
                <w:color w:val="auto"/>
                <w:sz w:val="21"/>
              </w:rPr>
            </w:pPr>
            <w:r>
              <w:rPr>
                <w:rFonts w:eastAsia="宋体"/>
                <w:color w:val="auto"/>
                <w:sz w:val="21"/>
              </w:rPr>
              <w:t>大</w:t>
            </w:r>
          </w:p>
        </w:tc>
        <w:tc>
          <w:tcPr>
            <w:tcW w:w="1420" w:type="dxa"/>
            <w:vAlign w:val="center"/>
          </w:tcPr>
          <w:p>
            <w:pPr>
              <w:spacing w:line="240" w:lineRule="auto"/>
              <w:ind w:firstLine="0" w:firstLineChars="0"/>
              <w:jc w:val="center"/>
              <w:rPr>
                <w:rFonts w:eastAsia="宋体"/>
                <w:color w:val="auto"/>
                <w:sz w:val="21"/>
              </w:rPr>
            </w:pPr>
            <w:r>
              <w:rPr>
                <w:rFonts w:eastAsia="宋体"/>
                <w:color w:val="auto"/>
                <w:sz w:val="21"/>
              </w:rPr>
              <w:t>方案1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vAlign w:val="center"/>
          </w:tcPr>
          <w:p>
            <w:pPr>
              <w:spacing w:line="240" w:lineRule="auto"/>
              <w:ind w:firstLine="0" w:firstLineChars="0"/>
              <w:jc w:val="center"/>
              <w:rPr>
                <w:rFonts w:eastAsia="宋体"/>
                <w:color w:val="auto"/>
                <w:sz w:val="21"/>
              </w:rPr>
            </w:pPr>
            <w:r>
              <w:rPr>
                <w:rFonts w:eastAsia="宋体"/>
                <w:color w:val="auto"/>
                <w:sz w:val="21"/>
              </w:rPr>
              <w:t>污泥产量</w:t>
            </w:r>
          </w:p>
        </w:tc>
        <w:tc>
          <w:tcPr>
            <w:tcW w:w="1419" w:type="dxa"/>
            <w:vAlign w:val="center"/>
          </w:tcPr>
          <w:p>
            <w:pPr>
              <w:spacing w:line="240" w:lineRule="auto"/>
              <w:ind w:firstLine="0" w:firstLineChars="0"/>
              <w:jc w:val="center"/>
              <w:rPr>
                <w:rFonts w:eastAsia="宋体"/>
                <w:color w:val="auto"/>
                <w:sz w:val="21"/>
              </w:rPr>
            </w:pPr>
            <w:r>
              <w:rPr>
                <w:rFonts w:eastAsia="宋体"/>
                <w:color w:val="auto"/>
                <w:sz w:val="21"/>
              </w:rPr>
              <w:t>少</w:t>
            </w:r>
          </w:p>
        </w:tc>
        <w:tc>
          <w:tcPr>
            <w:tcW w:w="1419" w:type="dxa"/>
            <w:vAlign w:val="center"/>
          </w:tcPr>
          <w:p>
            <w:pPr>
              <w:spacing w:line="240" w:lineRule="auto"/>
              <w:ind w:firstLine="0" w:firstLineChars="0"/>
              <w:jc w:val="center"/>
              <w:rPr>
                <w:rFonts w:eastAsia="宋体"/>
                <w:color w:val="auto"/>
                <w:sz w:val="21"/>
              </w:rPr>
            </w:pPr>
            <w:r>
              <w:rPr>
                <w:rFonts w:eastAsia="宋体"/>
                <w:color w:val="auto"/>
                <w:sz w:val="21"/>
              </w:rPr>
              <w:t>多</w:t>
            </w:r>
          </w:p>
        </w:tc>
        <w:tc>
          <w:tcPr>
            <w:tcW w:w="1420" w:type="dxa"/>
            <w:vAlign w:val="center"/>
          </w:tcPr>
          <w:p>
            <w:pPr>
              <w:spacing w:line="240" w:lineRule="auto"/>
              <w:ind w:firstLine="0" w:firstLineChars="0"/>
              <w:jc w:val="center"/>
              <w:rPr>
                <w:rFonts w:eastAsia="宋体"/>
                <w:color w:val="auto"/>
                <w:sz w:val="21"/>
              </w:rPr>
            </w:pPr>
            <w:r>
              <w:rPr>
                <w:rFonts w:eastAsia="宋体"/>
                <w:color w:val="auto"/>
                <w:sz w:val="21"/>
              </w:rPr>
              <w:t>多</w:t>
            </w:r>
          </w:p>
        </w:tc>
        <w:tc>
          <w:tcPr>
            <w:tcW w:w="1420" w:type="dxa"/>
            <w:vAlign w:val="center"/>
          </w:tcPr>
          <w:p>
            <w:pPr>
              <w:spacing w:line="240" w:lineRule="auto"/>
              <w:ind w:firstLine="0" w:firstLineChars="0"/>
              <w:jc w:val="center"/>
              <w:rPr>
                <w:rFonts w:eastAsia="宋体"/>
                <w:color w:val="auto"/>
                <w:sz w:val="21"/>
              </w:rPr>
            </w:pPr>
            <w:r>
              <w:rPr>
                <w:rFonts w:eastAsia="宋体"/>
                <w:color w:val="auto"/>
                <w:sz w:val="21"/>
              </w:rPr>
              <w:t>多</w:t>
            </w:r>
          </w:p>
        </w:tc>
        <w:tc>
          <w:tcPr>
            <w:tcW w:w="1420" w:type="dxa"/>
            <w:vAlign w:val="center"/>
          </w:tcPr>
          <w:p>
            <w:pPr>
              <w:spacing w:line="240" w:lineRule="auto"/>
              <w:ind w:firstLine="0" w:firstLineChars="0"/>
              <w:jc w:val="center"/>
              <w:rPr>
                <w:rFonts w:eastAsia="宋体"/>
                <w:color w:val="auto"/>
                <w:sz w:val="21"/>
              </w:rPr>
            </w:pPr>
            <w:r>
              <w:rPr>
                <w:rFonts w:eastAsia="宋体"/>
                <w:color w:val="auto"/>
                <w:sz w:val="21"/>
              </w:rPr>
              <w:t>方案1</w:t>
            </w:r>
          </w:p>
        </w:tc>
      </w:tr>
    </w:tbl>
    <w:p>
      <w:pPr>
        <w:rPr>
          <w:rFonts w:hint="eastAsia"/>
          <w:color w:val="auto"/>
          <w:lang w:val="en-US" w:eastAsia="zh-CN"/>
        </w:rPr>
      </w:pPr>
      <w:r>
        <w:rPr>
          <w:rFonts w:hint="eastAsia"/>
          <w:color w:val="auto"/>
          <w:lang w:val="en-US" w:eastAsia="zh-CN"/>
        </w:rPr>
        <w:t>由上表分析可知，AAO-MBR工艺（即方案1）虽运行电耗偏高，但综合比较，有以下优点：</w:t>
      </w:r>
    </w:p>
    <w:p>
      <w:pPr>
        <w:rPr>
          <w:rFonts w:hint="eastAsia"/>
          <w:color w:val="auto"/>
          <w:lang w:val="en-US" w:eastAsia="zh-CN"/>
        </w:rPr>
      </w:pPr>
      <w:r>
        <w:rPr>
          <w:rFonts w:hint="eastAsia"/>
          <w:color w:val="auto"/>
          <w:lang w:val="en-US" w:eastAsia="zh-CN"/>
        </w:rPr>
        <w:t>（1）采用MBR膜处理工艺，其它方案均采用了传统的二沉池工艺，MBR膜处理工艺对污染物去除效果较其它方案均较好，其出水水质好，远超一级A的标准，因此，后工段消毒工作量小，对应的设备能耗也较低；同时，因其出水水质优良，可广泛回用于冲厕、道路清扫、城市绿化、车辆冲洗、建筑工地和景观环境用水等，而其他方案出水一般仅限于冲厕、道路清扫和城市绿化。因此，采用方案1工艺可以最大程度的减少区域内新鲜水的用量，节约用水。</w:t>
      </w:r>
    </w:p>
    <w:p>
      <w:pPr>
        <w:rPr>
          <w:rFonts w:hint="eastAsia"/>
          <w:color w:val="auto"/>
          <w:lang w:val="en-US" w:eastAsia="zh-CN"/>
        </w:rPr>
      </w:pPr>
      <w:r>
        <w:rPr>
          <w:rFonts w:hint="eastAsia"/>
          <w:color w:val="auto"/>
          <w:lang w:val="en-US" w:eastAsia="zh-CN"/>
        </w:rPr>
        <w:t>（2）方案1工艺产生的污泥量相对其它方案少，污泥处理能耗在全厂占比较大，污泥处理能耗是污水处理工艺需考虑的重要部分，方案1工艺产生的污泥量相对其它方案少，因此，污泥处理能耗相对其它方案低，可有效降低污水处理的总能耗。</w:t>
      </w:r>
    </w:p>
    <w:p>
      <w:pPr>
        <w:rPr>
          <w:rFonts w:hint="eastAsia"/>
          <w:color w:val="auto"/>
          <w:lang w:val="en-US" w:eastAsia="zh-CN"/>
        </w:rPr>
      </w:pPr>
      <w:r>
        <w:rPr>
          <w:rFonts w:hint="eastAsia"/>
          <w:color w:val="auto"/>
          <w:lang w:val="en-US" w:eastAsia="zh-CN"/>
        </w:rPr>
        <w:t>（3）方案1工艺占地面积小，开发区用地较为紧张，节约土地是开发区管委会需考虑的重要因素，方案1因不需要建设二沉池，它利用膜拦截生化反应池中的大分子有机物与活性污泥，省去二沉池这一步，减少了占地面积，其占地面积较其它方案可减少20%以上，可有效节约用地。因此，报告推荐在非特殊要求的情况下，使用AAO-MBR工艺，以节约能源消耗。</w:t>
      </w:r>
    </w:p>
    <w:p>
      <w:pPr>
        <w:rPr>
          <w:rFonts w:hint="eastAsia"/>
          <w:color w:val="auto"/>
          <w:lang w:val="en-US" w:eastAsia="zh-CN"/>
        </w:rPr>
      </w:pPr>
      <w:r>
        <w:rPr>
          <w:rFonts w:hint="eastAsia"/>
          <w:color w:val="auto"/>
          <w:lang w:val="en-US" w:eastAsia="zh-CN"/>
        </w:rPr>
        <w:t>（4）工艺节能分析</w:t>
      </w:r>
    </w:p>
    <w:p>
      <w:pPr>
        <w:rPr>
          <w:rFonts w:hint="eastAsia"/>
          <w:color w:val="auto"/>
          <w:lang w:val="en-US" w:eastAsia="zh-CN"/>
        </w:rPr>
      </w:pPr>
      <w:r>
        <w:rPr>
          <w:rFonts w:hint="eastAsia"/>
          <w:color w:val="auto"/>
          <w:lang w:val="en-US" w:eastAsia="zh-CN"/>
        </w:rPr>
        <w:t>①能耗情况</w:t>
      </w:r>
    </w:p>
    <w:p>
      <w:pPr>
        <w:rPr>
          <w:rFonts w:hint="eastAsia"/>
          <w:color w:val="auto"/>
          <w:lang w:val="en-US" w:eastAsia="zh-CN"/>
        </w:rPr>
      </w:pPr>
      <w:r>
        <w:rPr>
          <w:rFonts w:hint="eastAsia"/>
          <w:color w:val="auto"/>
          <w:lang w:val="en-US" w:eastAsia="zh-CN"/>
        </w:rPr>
        <w:t>污水处理是高能耗的行业，其耗能主要包括电能、药耗和燃料等多个方面，其中电耗约占总能耗的60%~90%。</w:t>
      </w:r>
    </w:p>
    <w:p>
      <w:pPr>
        <w:rPr>
          <w:rFonts w:hint="eastAsia"/>
          <w:color w:val="auto"/>
          <w:lang w:val="en-US" w:eastAsia="zh-CN"/>
        </w:rPr>
      </w:pPr>
      <w:r>
        <w:rPr>
          <w:rFonts w:hint="eastAsia"/>
          <w:color w:val="auto"/>
          <w:lang w:val="en-US" w:eastAsia="zh-CN"/>
        </w:rPr>
        <w:t>②节能措施</w:t>
      </w:r>
    </w:p>
    <w:p>
      <w:pPr>
        <w:rPr>
          <w:rFonts w:hint="eastAsia"/>
          <w:color w:val="auto"/>
          <w:lang w:val="en-US" w:eastAsia="zh-CN"/>
        </w:rPr>
      </w:pPr>
      <w:r>
        <w:rPr>
          <w:rFonts w:hint="eastAsia"/>
          <w:color w:val="auto"/>
          <w:lang w:val="en-US" w:eastAsia="zh-CN"/>
        </w:rPr>
        <w:t>通过设备升级等方式提高氧在水中的利用率，如微孔曝气设备通过提高氧的传质效率起到节能的效果；通过模拟和优化运行的方式，精确控制风量（在机械曝气系统中表现为曝气设备的开启台数和运行频率的控制），达到降低曝气量进而起到节能的效果；第三类是通过变频等技术手段提高鼓风机、机械曝气机的运行效率，使得曝气设备一直能在较高效的状态下稳定运行，进而起到节能的效果。</w:t>
      </w:r>
    </w:p>
    <w:p>
      <w:pPr>
        <w:rPr>
          <w:rFonts w:hint="eastAsia"/>
          <w:color w:val="auto"/>
          <w:lang w:val="en-US" w:eastAsia="zh-CN"/>
        </w:rPr>
      </w:pPr>
      <w:r>
        <w:rPr>
          <w:rFonts w:hint="eastAsia"/>
          <w:color w:val="auto"/>
          <w:lang w:val="en-US" w:eastAsia="zh-CN"/>
        </w:rPr>
        <w:t>③能耗指标要求</w:t>
      </w:r>
    </w:p>
    <w:p>
      <w:pPr>
        <w:rPr>
          <w:rFonts w:hint="eastAsia"/>
          <w:color w:val="auto"/>
          <w:lang w:val="en-US" w:eastAsia="zh-CN"/>
        </w:rPr>
      </w:pPr>
      <w:r>
        <w:rPr>
          <w:rFonts w:hint="eastAsia"/>
          <w:color w:val="auto"/>
          <w:lang w:val="en-US" w:eastAsia="zh-CN"/>
        </w:rPr>
        <w:t>a、电耗指标</w:t>
      </w:r>
    </w:p>
    <w:p>
      <w:pPr>
        <w:rPr>
          <w:rFonts w:hint="eastAsia"/>
          <w:color w:val="auto"/>
          <w:lang w:val="en-US" w:eastAsia="zh-CN"/>
        </w:rPr>
      </w:pPr>
      <w:r>
        <w:rPr>
          <w:rFonts w:hint="eastAsia"/>
          <w:color w:val="auto"/>
          <w:lang w:val="en-US" w:eastAsia="zh-CN"/>
        </w:rPr>
        <w:t>开发区污水处理综合电耗指标，根据处理规模的不同，参照北京市地方标准《城镇污水处理能源消耗限额》（DB11/T 1118-2014），建议达到下表限定值指标要求：</w:t>
      </w:r>
    </w:p>
    <w:p>
      <w:pPr>
        <w:jc w:val="center"/>
        <w:rPr>
          <w:rFonts w:hint="eastAsia"/>
          <w:color w:val="auto"/>
          <w:lang w:val="en-US" w:eastAsia="zh-CN"/>
        </w:rPr>
      </w:pPr>
      <w:r>
        <w:rPr>
          <w:rFonts w:hint="eastAsia"/>
          <w:color w:val="auto"/>
          <w:lang w:val="en-US" w:eastAsia="zh-CN"/>
        </w:rPr>
        <w:t>表4-2 城镇污水处理电耗指标表</w:t>
      </w:r>
    </w:p>
    <w:tbl>
      <w:tblPr>
        <w:tblStyle w:val="11"/>
        <w:tblW w:w="8300" w:type="dxa"/>
        <w:tblInd w:w="93"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3276"/>
        <w:gridCol w:w="2835"/>
        <w:gridCol w:w="218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4" w:hRule="atLeast"/>
        </w:trPr>
        <w:tc>
          <w:tcPr>
            <w:tcW w:w="327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分类</w:t>
            </w:r>
          </w:p>
        </w:tc>
        <w:tc>
          <w:tcPr>
            <w:tcW w:w="2835"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综合能耗限额限定值（kWh/m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w:t>
            </w:r>
          </w:p>
        </w:tc>
        <w:tc>
          <w:tcPr>
            <w:tcW w:w="2189"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综合能耗限额先进值（kWh /m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2" w:hRule="atLeast"/>
        </w:trPr>
        <w:tc>
          <w:tcPr>
            <w:tcW w:w="327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50~100万t/d（含100万t/d）</w:t>
            </w:r>
          </w:p>
        </w:tc>
        <w:tc>
          <w:tcPr>
            <w:tcW w:w="2835"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≤0.229</w:t>
            </w:r>
          </w:p>
        </w:tc>
        <w:tc>
          <w:tcPr>
            <w:tcW w:w="2189"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≤0.211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2" w:hRule="atLeast"/>
        </w:trPr>
        <w:tc>
          <w:tcPr>
            <w:tcW w:w="327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20~50万t/d（含50万t/d）</w:t>
            </w:r>
          </w:p>
        </w:tc>
        <w:tc>
          <w:tcPr>
            <w:tcW w:w="2835"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≤0.288</w:t>
            </w:r>
          </w:p>
        </w:tc>
        <w:tc>
          <w:tcPr>
            <w:tcW w:w="2189"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≤0.259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2" w:hRule="atLeast"/>
        </w:trPr>
        <w:tc>
          <w:tcPr>
            <w:tcW w:w="327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10~20万t/d（含20万t/d）</w:t>
            </w:r>
          </w:p>
        </w:tc>
        <w:tc>
          <w:tcPr>
            <w:tcW w:w="2835"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≤0.339</w:t>
            </w:r>
          </w:p>
        </w:tc>
        <w:tc>
          <w:tcPr>
            <w:tcW w:w="2189"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≤0.294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2" w:hRule="atLeast"/>
        </w:trPr>
        <w:tc>
          <w:tcPr>
            <w:tcW w:w="327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5~10万t/d（含10万t/d）</w:t>
            </w:r>
          </w:p>
        </w:tc>
        <w:tc>
          <w:tcPr>
            <w:tcW w:w="2835"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≤0.342</w:t>
            </w:r>
          </w:p>
        </w:tc>
        <w:tc>
          <w:tcPr>
            <w:tcW w:w="2189"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≤0.305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1" w:hRule="atLeast"/>
        </w:trPr>
        <w:tc>
          <w:tcPr>
            <w:tcW w:w="327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1~5万t/d（含5万t/d）</w:t>
            </w:r>
          </w:p>
        </w:tc>
        <w:tc>
          <w:tcPr>
            <w:tcW w:w="2835"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≤0.367</w:t>
            </w:r>
          </w:p>
        </w:tc>
        <w:tc>
          <w:tcPr>
            <w:tcW w:w="2189"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≤0.349</w:t>
            </w:r>
          </w:p>
        </w:tc>
      </w:tr>
    </w:tbl>
    <w:p>
      <w:pPr>
        <w:rPr>
          <w:rFonts w:hint="eastAsia"/>
          <w:color w:val="auto"/>
          <w:lang w:val="en-US" w:eastAsia="zh-CN"/>
        </w:rPr>
      </w:pPr>
      <w:r>
        <w:rPr>
          <w:rFonts w:hint="eastAsia"/>
          <w:color w:val="auto"/>
          <w:lang w:val="en-US" w:eastAsia="zh-CN"/>
        </w:rPr>
        <w:t>b、能耗指标</w:t>
      </w:r>
    </w:p>
    <w:p>
      <w:pPr>
        <w:rPr>
          <w:rFonts w:hint="eastAsia"/>
          <w:color w:val="auto"/>
          <w:lang w:val="en-US" w:eastAsia="zh-CN"/>
        </w:rPr>
      </w:pPr>
      <w:r>
        <w:rPr>
          <w:rFonts w:hint="eastAsia"/>
          <w:color w:val="auto"/>
          <w:lang w:val="en-US" w:eastAsia="zh-CN"/>
        </w:rPr>
        <w:t>开发区污水处理综合能耗指标，根据处理规模的不同，参照《城镇污水处理能源消耗限额》（DB11/T 1118-2014），建议达到下表限定值要求：</w:t>
      </w:r>
    </w:p>
    <w:p>
      <w:pPr>
        <w:jc w:val="center"/>
        <w:rPr>
          <w:rFonts w:hint="eastAsia"/>
          <w:color w:val="auto"/>
          <w:lang w:val="en-US" w:eastAsia="zh-CN"/>
        </w:rPr>
      </w:pPr>
      <w:r>
        <w:rPr>
          <w:rFonts w:hint="eastAsia"/>
          <w:color w:val="auto"/>
          <w:lang w:val="en-US" w:eastAsia="zh-CN"/>
        </w:rPr>
        <w:t>表4-3 城镇污水处理能耗指标表</w:t>
      </w:r>
    </w:p>
    <w:tbl>
      <w:tblPr>
        <w:tblStyle w:val="11"/>
        <w:tblW w:w="8300" w:type="dxa"/>
        <w:tblInd w:w="93"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3276"/>
        <w:gridCol w:w="2835"/>
        <w:gridCol w:w="218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327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分类</w:t>
            </w:r>
          </w:p>
        </w:tc>
        <w:tc>
          <w:tcPr>
            <w:tcW w:w="2835"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综合能耗限额限定值（kgce/m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w:t>
            </w:r>
          </w:p>
        </w:tc>
        <w:tc>
          <w:tcPr>
            <w:tcW w:w="2189"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综合能耗限额先进值（kgce/m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327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50~100万t/d（含100万t/d）</w:t>
            </w:r>
          </w:p>
        </w:tc>
        <w:tc>
          <w:tcPr>
            <w:tcW w:w="2835"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≤0.0310</w:t>
            </w:r>
          </w:p>
        </w:tc>
        <w:tc>
          <w:tcPr>
            <w:tcW w:w="2189"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≤0.0278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327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20~50万t/d（含50万t/d）</w:t>
            </w:r>
          </w:p>
        </w:tc>
        <w:tc>
          <w:tcPr>
            <w:tcW w:w="2835"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≤0.0356</w:t>
            </w:r>
          </w:p>
        </w:tc>
        <w:tc>
          <w:tcPr>
            <w:tcW w:w="2189"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≤0.0304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327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10~20万t/d（含20万t/d）</w:t>
            </w:r>
          </w:p>
        </w:tc>
        <w:tc>
          <w:tcPr>
            <w:tcW w:w="2835"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≤0.0413</w:t>
            </w:r>
          </w:p>
        </w:tc>
        <w:tc>
          <w:tcPr>
            <w:tcW w:w="2189"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≤0.0389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327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5~10万t/d（含10万t/d）</w:t>
            </w:r>
          </w:p>
        </w:tc>
        <w:tc>
          <w:tcPr>
            <w:tcW w:w="2835"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≤0.0477</w:t>
            </w:r>
          </w:p>
        </w:tc>
        <w:tc>
          <w:tcPr>
            <w:tcW w:w="2189"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≤0.0469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327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1~5万t/d（含5万t/d）</w:t>
            </w:r>
          </w:p>
        </w:tc>
        <w:tc>
          <w:tcPr>
            <w:tcW w:w="2835"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≤0.0514</w:t>
            </w:r>
          </w:p>
        </w:tc>
        <w:tc>
          <w:tcPr>
            <w:tcW w:w="2189"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≤0.0488</w:t>
            </w:r>
          </w:p>
        </w:tc>
      </w:tr>
    </w:tbl>
    <w:p>
      <w:pPr>
        <w:bidi w:val="0"/>
        <w:rPr>
          <w:rFonts w:hint="eastAsia"/>
          <w:color w:val="auto"/>
          <w:lang w:val="en-US" w:eastAsia="zh-CN"/>
        </w:rPr>
      </w:pPr>
    </w:p>
    <w:p>
      <w:pPr>
        <w:bidi w:val="0"/>
        <w:rPr>
          <w:rFonts w:hint="eastAsia"/>
          <w:color w:val="auto"/>
          <w:lang w:val="en-US" w:eastAsia="zh-CN"/>
        </w:rPr>
      </w:pPr>
      <w:r>
        <w:rPr>
          <w:rFonts w:hint="eastAsia"/>
          <w:color w:val="auto"/>
          <w:lang w:val="en-US" w:eastAsia="zh-CN"/>
        </w:rPr>
        <w:t>5、热力系统</w:t>
      </w:r>
    </w:p>
    <w:p>
      <w:pPr>
        <w:bidi w:val="0"/>
        <w:rPr>
          <w:rFonts w:hint="eastAsia"/>
          <w:color w:val="auto"/>
          <w:lang w:val="en-US" w:eastAsia="zh-CN"/>
        </w:rPr>
      </w:pPr>
      <w:r>
        <w:rPr>
          <w:rFonts w:hint="eastAsia"/>
          <w:color w:val="auto"/>
          <w:lang w:val="en-US" w:eastAsia="zh-CN"/>
        </w:rPr>
        <w:t>开发区主要行业为磷系产业、化工产业、建材及食品药品产业，园区化工用热、食品药品用热方面主要是蒸汽。</w:t>
      </w:r>
    </w:p>
    <w:p>
      <w:pPr>
        <w:bidi w:val="0"/>
        <w:rPr>
          <w:rFonts w:hint="eastAsia"/>
          <w:color w:val="auto"/>
          <w:lang w:val="en-US" w:eastAsia="zh-CN"/>
        </w:rPr>
      </w:pPr>
      <w:r>
        <w:rPr>
          <w:rFonts w:hint="eastAsia"/>
          <w:color w:val="auto"/>
          <w:lang w:val="en-US" w:eastAsia="zh-CN"/>
        </w:rPr>
        <w:t>（1）基本情况</w:t>
      </w:r>
    </w:p>
    <w:p>
      <w:pPr>
        <w:bidi w:val="0"/>
        <w:rPr>
          <w:rFonts w:hint="eastAsia"/>
          <w:color w:val="auto"/>
          <w:lang w:val="en-US" w:eastAsia="zh-CN"/>
        </w:rPr>
      </w:pPr>
      <w:r>
        <w:rPr>
          <w:rFonts w:hint="eastAsia"/>
          <w:color w:val="auto"/>
          <w:lang w:val="en-US" w:eastAsia="zh-CN"/>
        </w:rPr>
        <w:t>开发区所有原有燃煤锅炉均已做燃气锅炉改造，不适合使用燃煤锅炉和燃油锅炉，电蒸汽锅炉由于热能利用效率偏低，不推荐工业使用，同时开发区黄磷生产等生产工艺大量余热可利用，一般采用余热锅炉产生蒸汽为生产工艺及办公生活用热。本报告推荐开发区充分利用园区化工企业余热，优先利用余热产生蒸汽，其次使用燃气蒸汽锅炉，作为生产蒸汽的主要设备。</w:t>
      </w:r>
    </w:p>
    <w:p>
      <w:pPr>
        <w:bidi w:val="0"/>
        <w:rPr>
          <w:rFonts w:hint="eastAsia"/>
          <w:color w:val="auto"/>
          <w:lang w:val="en-US" w:eastAsia="zh-CN"/>
        </w:rPr>
      </w:pPr>
      <w:r>
        <w:rPr>
          <w:rFonts w:hint="eastAsia"/>
          <w:color w:val="auto"/>
          <w:lang w:val="en-US" w:eastAsia="zh-CN"/>
        </w:rPr>
        <w:t>（2）能效要求</w:t>
      </w:r>
    </w:p>
    <w:p>
      <w:pPr>
        <w:bidi w:val="0"/>
        <w:rPr>
          <w:rFonts w:hint="eastAsia"/>
          <w:color w:val="auto"/>
          <w:lang w:val="en-US" w:eastAsia="zh-CN"/>
        </w:rPr>
      </w:pPr>
      <w:r>
        <w:rPr>
          <w:rFonts w:hint="eastAsia"/>
          <w:color w:val="auto"/>
          <w:lang w:val="en-US" w:eastAsia="zh-CN"/>
        </w:rPr>
        <w:t>1）锅炉</w:t>
      </w:r>
    </w:p>
    <w:p>
      <w:pPr>
        <w:bidi w:val="0"/>
        <w:rPr>
          <w:rFonts w:hint="eastAsia"/>
          <w:color w:val="auto"/>
          <w:lang w:val="en-US" w:eastAsia="zh-CN"/>
        </w:rPr>
      </w:pPr>
      <w:r>
        <w:rPr>
          <w:rFonts w:hint="eastAsia"/>
          <w:color w:val="auto"/>
          <w:lang w:val="en-US" w:eastAsia="zh-CN"/>
        </w:rPr>
        <w:t>开发区推荐采用燃气工业锅炉，推荐锅炉产品须达到《工业锅炉能效限定值及能效等级》（GB24500-2021）2级能效等级要求，即达到94%以上。</w:t>
      </w:r>
    </w:p>
    <w:p>
      <w:pPr>
        <w:bidi w:val="0"/>
        <w:rPr>
          <w:rFonts w:hint="eastAsia"/>
          <w:color w:val="auto"/>
          <w:lang w:val="en-US" w:eastAsia="zh-CN"/>
        </w:rPr>
      </w:pPr>
      <w:r>
        <w:rPr>
          <w:rFonts w:hint="eastAsia"/>
          <w:color w:val="auto"/>
          <w:lang w:val="en-US" w:eastAsia="zh-CN"/>
        </w:rPr>
        <w:t>燃气锅炉供热锅炉单位供热量能耗为：egr=E×106/Q</w:t>
      </w:r>
    </w:p>
    <w:p>
      <w:pPr>
        <w:bidi w:val="0"/>
        <w:rPr>
          <w:rFonts w:hint="eastAsia"/>
          <w:color w:val="auto"/>
          <w:lang w:val="en-US" w:eastAsia="zh-CN"/>
        </w:rPr>
      </w:pPr>
      <w:r>
        <w:rPr>
          <w:rFonts w:hint="eastAsia"/>
          <w:color w:val="auto"/>
          <w:lang w:val="en-US" w:eastAsia="zh-CN"/>
        </w:rPr>
        <w:t>E-耗能工质能耗量；</w:t>
      </w:r>
    </w:p>
    <w:p>
      <w:pPr>
        <w:bidi w:val="0"/>
        <w:rPr>
          <w:rFonts w:hint="eastAsia"/>
          <w:color w:val="auto"/>
          <w:lang w:val="en-US" w:eastAsia="zh-CN"/>
        </w:rPr>
      </w:pPr>
      <w:r>
        <w:rPr>
          <w:rFonts w:hint="eastAsia"/>
          <w:color w:val="auto"/>
          <w:lang w:val="en-US" w:eastAsia="zh-CN"/>
        </w:rPr>
        <w:t>Q-总供热量；</w:t>
      </w:r>
    </w:p>
    <w:p>
      <w:pPr>
        <w:bidi w:val="0"/>
        <w:rPr>
          <w:rFonts w:hint="eastAsia"/>
          <w:color w:val="auto"/>
          <w:lang w:val="en-US" w:eastAsia="zh-CN"/>
        </w:rPr>
      </w:pPr>
      <w:r>
        <w:rPr>
          <w:rFonts w:hint="eastAsia"/>
          <w:color w:val="auto"/>
          <w:lang w:val="en-US" w:eastAsia="zh-CN"/>
        </w:rPr>
        <w:t>按94%的效率计算，标准煤热值参照《综合能耗计算通则》（GB/T 2589-2020）取值29.307MJ/tce，则燃气锅炉单位供热量能耗为27.55MJ/tce。开发区使用锅炉单位供热量能耗不低于27.55MJ/tce。</w:t>
      </w:r>
    </w:p>
    <w:p>
      <w:pPr>
        <w:bidi w:val="0"/>
        <w:rPr>
          <w:rFonts w:hint="eastAsia"/>
          <w:color w:val="auto"/>
          <w:lang w:val="en-US" w:eastAsia="zh-CN"/>
        </w:rPr>
      </w:pPr>
      <w:r>
        <w:rPr>
          <w:rFonts w:hint="eastAsia"/>
          <w:color w:val="auto"/>
          <w:lang w:val="en-US" w:eastAsia="zh-CN"/>
        </w:rPr>
        <w:t>2）输送管道</w:t>
      </w:r>
    </w:p>
    <w:p>
      <w:pPr>
        <w:bidi w:val="0"/>
        <w:rPr>
          <w:rFonts w:hint="eastAsia"/>
          <w:color w:val="auto"/>
          <w:lang w:val="en-US" w:eastAsia="zh-CN"/>
        </w:rPr>
      </w:pPr>
      <w:r>
        <w:rPr>
          <w:rFonts w:hint="eastAsia"/>
          <w:color w:val="auto"/>
          <w:lang w:val="en-US" w:eastAsia="zh-CN"/>
        </w:rPr>
        <w:t>蒸汽在管道流动过程中由于压降、散热、管道事故等现象的发生，会引起蒸汽在输送过程中的能量损失。为了减少蒸汽输送损失，区域蒸汽输送管网应做到以下几点要求。</w:t>
      </w:r>
    </w:p>
    <w:p>
      <w:pPr>
        <w:numPr>
          <w:ilvl w:val="0"/>
          <w:numId w:val="1"/>
        </w:numPr>
        <w:bidi w:val="0"/>
        <w:ind w:left="0" w:leftChars="0" w:firstLine="400" w:firstLineChars="0"/>
        <w:rPr>
          <w:rFonts w:hint="eastAsia"/>
          <w:color w:val="auto"/>
          <w:lang w:val="en-US" w:eastAsia="zh-CN"/>
        </w:rPr>
      </w:pPr>
      <w:r>
        <w:rPr>
          <w:rFonts w:hint="eastAsia"/>
          <w:color w:val="auto"/>
          <w:lang w:val="en-US" w:eastAsia="zh-CN"/>
        </w:rPr>
        <w:t>合理选择蒸汽管道的管径</w:t>
      </w:r>
    </w:p>
    <w:p>
      <w:pPr>
        <w:bidi w:val="0"/>
        <w:rPr>
          <w:rFonts w:hint="eastAsia"/>
          <w:color w:val="auto"/>
          <w:lang w:val="en-US" w:eastAsia="zh-CN"/>
        </w:rPr>
      </w:pPr>
      <w:r>
        <w:rPr>
          <w:rFonts w:hint="eastAsia"/>
          <w:color w:val="auto"/>
          <w:lang w:val="en-US" w:eastAsia="zh-CN"/>
        </w:rPr>
        <w:t>在布置蒸汽管道之前，要依照蒸汽的实际需求量进行管道直径的相应选择，如果管道直径太大，会增大管道的热损失，增加管道的工程投资，增加管道运输中产生的冷凝水：如果管道直径太小，会使点压力下降，蒸汽量不够，流速较高，造成冲蚀和水锤，因此要依照蒸汽的实际需求量、流速、压力作为管径选择的相关标准。</w:t>
      </w:r>
    </w:p>
    <w:p>
      <w:pPr>
        <w:numPr>
          <w:ilvl w:val="0"/>
          <w:numId w:val="1"/>
        </w:numPr>
        <w:bidi w:val="0"/>
        <w:ind w:left="0" w:leftChars="0" w:firstLine="400" w:firstLineChars="0"/>
        <w:rPr>
          <w:rFonts w:hint="eastAsia"/>
          <w:color w:val="auto"/>
          <w:lang w:val="en-US" w:eastAsia="zh-CN"/>
        </w:rPr>
      </w:pPr>
      <w:r>
        <w:rPr>
          <w:rFonts w:hint="eastAsia"/>
          <w:color w:val="auto"/>
          <w:lang w:val="en-US" w:eastAsia="zh-CN"/>
        </w:rPr>
        <w:t>做好管道保温设计</w:t>
      </w:r>
    </w:p>
    <w:p>
      <w:pPr>
        <w:bidi w:val="0"/>
        <w:rPr>
          <w:rFonts w:hint="eastAsia"/>
          <w:color w:val="auto"/>
          <w:lang w:val="en-US" w:eastAsia="zh-CN"/>
        </w:rPr>
      </w:pPr>
      <w:r>
        <w:rPr>
          <w:rFonts w:hint="eastAsia"/>
          <w:color w:val="auto"/>
          <w:lang w:val="en-US" w:eastAsia="zh-CN"/>
        </w:rPr>
        <w:t>设计管道推荐考虑使用新型保温材料，例如纳米孔绝热材料，复合绝热材料石棉代用品、玻璃棉等都具有更好的保温性能，减少管道输送蒸汽的散热损失。</w:t>
      </w:r>
    </w:p>
    <w:p>
      <w:pPr>
        <w:numPr>
          <w:ilvl w:val="0"/>
          <w:numId w:val="1"/>
        </w:numPr>
        <w:bidi w:val="0"/>
        <w:ind w:left="0" w:leftChars="0" w:firstLine="400" w:firstLineChars="0"/>
        <w:rPr>
          <w:rFonts w:hint="eastAsia"/>
          <w:color w:val="auto"/>
          <w:lang w:val="en-US" w:eastAsia="zh-CN"/>
        </w:rPr>
      </w:pPr>
      <w:r>
        <w:rPr>
          <w:rFonts w:hint="eastAsia"/>
          <w:color w:val="auto"/>
          <w:lang w:val="en-US" w:eastAsia="zh-CN"/>
        </w:rPr>
        <w:t>凝结水回收与利用</w:t>
      </w:r>
    </w:p>
    <w:p>
      <w:pPr>
        <w:bidi w:val="0"/>
        <w:rPr>
          <w:rFonts w:hint="eastAsia"/>
          <w:color w:val="auto"/>
          <w:lang w:val="en-US" w:eastAsia="zh-CN"/>
        </w:rPr>
      </w:pPr>
      <w:r>
        <w:rPr>
          <w:rFonts w:hint="eastAsia"/>
          <w:color w:val="auto"/>
          <w:lang w:val="en-US" w:eastAsia="zh-CN"/>
        </w:rPr>
        <w:t>生态特色食品制造企业需要用大量的蒸汽对进行加热、杀菌等。凝结水中所含热能约占蒸汽热能的25%左右，尽量采用密闭式冷凝水回收等节能措施，有效减少排凝损失和回收冷凝水余热。</w:t>
      </w:r>
    </w:p>
    <w:p>
      <w:pPr>
        <w:numPr>
          <w:ilvl w:val="0"/>
          <w:numId w:val="1"/>
        </w:numPr>
        <w:bidi w:val="0"/>
        <w:ind w:left="0" w:leftChars="0" w:firstLine="400" w:firstLineChars="0"/>
        <w:rPr>
          <w:rFonts w:hint="eastAsia"/>
          <w:color w:val="auto"/>
          <w:lang w:val="en-US" w:eastAsia="zh-CN"/>
        </w:rPr>
      </w:pPr>
      <w:r>
        <w:rPr>
          <w:rFonts w:hint="eastAsia"/>
          <w:color w:val="auto"/>
          <w:lang w:val="en-US" w:eastAsia="zh-CN"/>
        </w:rPr>
        <w:t>保温材料要求</w:t>
      </w:r>
    </w:p>
    <w:p>
      <w:pPr>
        <w:bidi w:val="0"/>
        <w:rPr>
          <w:rFonts w:hint="eastAsia"/>
          <w:color w:val="auto"/>
          <w:lang w:val="en-US" w:eastAsia="zh-CN"/>
        </w:rPr>
      </w:pPr>
      <w:r>
        <w:rPr>
          <w:rFonts w:hint="eastAsia"/>
          <w:color w:val="auto"/>
          <w:lang w:val="en-US" w:eastAsia="zh-CN"/>
        </w:rPr>
        <w:t>开发区蒸汽输送管网保温材料严格按照《设备及管道绝热技术通则》（GB/T 4272-2008）标准要求：</w:t>
      </w:r>
    </w:p>
    <w:p>
      <w:pPr>
        <w:bidi w:val="0"/>
        <w:rPr>
          <w:rFonts w:hint="eastAsia"/>
          <w:color w:val="auto"/>
          <w:lang w:val="en-US" w:eastAsia="zh-CN"/>
        </w:rPr>
      </w:pPr>
      <w:r>
        <w:rPr>
          <w:rFonts w:hint="eastAsia"/>
          <w:color w:val="auto"/>
          <w:lang w:val="en-US" w:eastAsia="zh-CN"/>
        </w:rPr>
        <w:t>在平均温度为298K（25℃）时热导率值不应大于0.08W/（m·K），并有在使用密度和使用温度范围下的热导率方程式或图表；密度不大于300kg/m2；除软质、半硬质、散状材料外，硬质无机成型制品的抗压强度不应小于0.30MPa，有机成型制品的抗压强度不应小于0.20MPa。</w:t>
      </w:r>
    </w:p>
    <w:p>
      <w:pPr>
        <w:numPr>
          <w:ilvl w:val="0"/>
          <w:numId w:val="1"/>
        </w:numPr>
        <w:bidi w:val="0"/>
        <w:ind w:left="0" w:leftChars="0" w:firstLine="400" w:firstLineChars="0"/>
        <w:rPr>
          <w:rFonts w:hint="eastAsia"/>
          <w:color w:val="auto"/>
          <w:lang w:val="en-US" w:eastAsia="zh-CN"/>
        </w:rPr>
      </w:pPr>
      <w:r>
        <w:rPr>
          <w:rFonts w:hint="eastAsia"/>
          <w:color w:val="auto"/>
          <w:lang w:val="en-US" w:eastAsia="zh-CN"/>
        </w:rPr>
        <w:t>保温层厚度节能指标</w:t>
      </w:r>
    </w:p>
    <w:p>
      <w:pPr>
        <w:bidi w:val="0"/>
        <w:rPr>
          <w:rFonts w:hint="eastAsia"/>
          <w:color w:val="auto"/>
          <w:lang w:val="en-US" w:eastAsia="zh-CN"/>
        </w:rPr>
      </w:pPr>
      <w:r>
        <w:rPr>
          <w:rFonts w:hint="eastAsia"/>
          <w:color w:val="auto"/>
          <w:lang w:val="en-US" w:eastAsia="zh-CN"/>
        </w:rPr>
        <w:t>保温层厚度应按“经济厚度”的方法计算，并且其散热损失不得超过《设备及管道绝热技术通则》（GB/T 4272-2008）表1或表2的数值。</w:t>
      </w:r>
    </w:p>
    <w:p>
      <w:pPr>
        <w:numPr>
          <w:ilvl w:val="0"/>
          <w:numId w:val="1"/>
        </w:numPr>
        <w:bidi w:val="0"/>
        <w:ind w:left="0" w:leftChars="0" w:firstLine="400" w:firstLineChars="0"/>
        <w:rPr>
          <w:rFonts w:hint="eastAsia"/>
          <w:color w:val="auto"/>
          <w:lang w:val="en-US" w:eastAsia="zh-CN"/>
        </w:rPr>
      </w:pPr>
      <w:r>
        <w:rPr>
          <w:rFonts w:hint="eastAsia"/>
          <w:color w:val="auto"/>
          <w:lang w:val="en-US" w:eastAsia="zh-CN"/>
        </w:rPr>
        <w:t>保温材料热损失</w:t>
      </w:r>
    </w:p>
    <w:p>
      <w:pPr>
        <w:bidi w:val="0"/>
        <w:rPr>
          <w:rFonts w:hint="eastAsia"/>
          <w:color w:val="auto"/>
          <w:lang w:val="en-US" w:eastAsia="zh-CN"/>
        </w:rPr>
      </w:pPr>
      <w:r>
        <w:rPr>
          <w:rFonts w:hint="eastAsia"/>
          <w:color w:val="auto"/>
          <w:lang w:val="en-US" w:eastAsia="zh-CN"/>
        </w:rPr>
        <w:t>产业园区管道热力输送损失，应不超过2%。</w:t>
      </w:r>
    </w:p>
    <w:p>
      <w:pPr>
        <w:pStyle w:val="4"/>
        <w:bidi w:val="0"/>
        <w:rPr>
          <w:rFonts w:hint="eastAsia"/>
          <w:color w:val="auto"/>
          <w:lang w:val="en-US" w:eastAsia="zh-CN"/>
        </w:rPr>
      </w:pPr>
      <w:bookmarkStart w:id="42" w:name="_Toc30487"/>
      <w:r>
        <w:rPr>
          <w:rFonts w:hint="eastAsia"/>
          <w:color w:val="auto"/>
          <w:lang w:val="en-US" w:eastAsia="zh-CN"/>
        </w:rPr>
        <w:t>4.1.4 企业附属用能系统分析</w:t>
      </w:r>
      <w:bookmarkEnd w:id="42"/>
    </w:p>
    <w:p>
      <w:pPr>
        <w:bidi w:val="0"/>
        <w:rPr>
          <w:rFonts w:hint="eastAsia"/>
          <w:color w:val="auto"/>
          <w:lang w:val="en-US" w:eastAsia="zh-CN"/>
        </w:rPr>
      </w:pPr>
      <w:r>
        <w:rPr>
          <w:rFonts w:hint="eastAsia"/>
          <w:color w:val="auto"/>
          <w:lang w:val="en-US" w:eastAsia="zh-CN"/>
        </w:rPr>
        <w:t>开发区生产办公等用房应做好保温、通风、采光、供电和照明设计应符合国家现行标准《公共建筑节能设计标准》（GB 50189-2015）、《工业建筑节能设计统一标准》（GB 51245-2017）等。建筑总平面的布置和设计，宜利用冬季日照并避开冬季主导风向，利用夏季自然通风。</w:t>
      </w:r>
    </w:p>
    <w:p>
      <w:pPr>
        <w:bidi w:val="0"/>
        <w:rPr>
          <w:rFonts w:hint="eastAsia"/>
          <w:color w:val="auto"/>
          <w:lang w:val="en-US" w:eastAsia="zh-CN"/>
        </w:rPr>
      </w:pPr>
      <w:r>
        <w:rPr>
          <w:rFonts w:hint="eastAsia"/>
          <w:color w:val="auto"/>
          <w:lang w:val="en-US" w:eastAsia="zh-CN"/>
        </w:rPr>
        <w:t>1、建筑</w:t>
      </w:r>
    </w:p>
    <w:p>
      <w:pPr>
        <w:bidi w:val="0"/>
        <w:rPr>
          <w:rFonts w:hint="eastAsia"/>
          <w:color w:val="auto"/>
          <w:lang w:val="en-US" w:eastAsia="zh-CN"/>
        </w:rPr>
      </w:pPr>
      <w:r>
        <w:rPr>
          <w:rFonts w:hint="eastAsia"/>
          <w:color w:val="auto"/>
          <w:lang w:val="en-US" w:eastAsia="zh-CN"/>
        </w:rPr>
        <w:t>开发区建筑按建筑类型分类，工业建筑有标准厂房、各类仓库等，建筑布局、建筑设计、自然通风和天然采光以及围护结构热工设计应遵循《工业建筑节能设计统一标准》（GB 51245-2017）等相关标准进行设计建设；生产附属用房包括办公楼、配套用房和宿舍等，其中办公楼、配套用房等属公共建筑，应遵循《公共建筑节能设计标准》（GB 50189-2015）进行设计建设；宿舍属居住建筑，应参照《温和地区居住建筑节能设计标准》（JGJ475-2019）进行设计建设。</w:t>
      </w:r>
    </w:p>
    <w:p>
      <w:pPr>
        <w:bidi w:val="0"/>
        <w:rPr>
          <w:rFonts w:hint="eastAsia"/>
          <w:color w:val="auto"/>
          <w:lang w:val="en-US" w:eastAsia="zh-CN"/>
        </w:rPr>
      </w:pPr>
      <w:r>
        <w:rPr>
          <w:rFonts w:hint="eastAsia"/>
          <w:color w:val="auto"/>
          <w:lang w:val="en-US" w:eastAsia="zh-CN"/>
        </w:rPr>
        <w:t>（1）建筑布局、设计节能要求</w:t>
      </w:r>
    </w:p>
    <w:p>
      <w:pPr>
        <w:bidi w:val="0"/>
        <w:rPr>
          <w:rFonts w:hint="eastAsia"/>
          <w:color w:val="auto"/>
          <w:lang w:val="en-US" w:eastAsia="zh-CN"/>
        </w:rPr>
      </w:pPr>
      <w:r>
        <w:rPr>
          <w:rFonts w:hint="eastAsia"/>
          <w:color w:val="auto"/>
          <w:lang w:val="en-US" w:eastAsia="zh-CN"/>
        </w:rPr>
        <w:t>1）在开发区建筑布局上，应考虑按生产、行政、生活和辅助等功能合理划区，生产厂房应位于厂区内环境整洁区域，人流、物流应保证互不交叉穿越，应结合产品工艺特点和防止生产时交叉污染，间距应符合工艺生产要求，建筑朝向布局宜利用冬季日照并避开冬季主导风向，利用夏季自然通风；生产辅助用房在建筑保温、通风、采光等设计应遵循《公共建筑节能设计标准》（GB 50189-2015）及《工业建筑采暖通风与空气调节设计规范》（GB 50019-2015）执行。</w:t>
      </w:r>
    </w:p>
    <w:p>
      <w:pPr>
        <w:bidi w:val="0"/>
        <w:rPr>
          <w:rFonts w:hint="eastAsia"/>
          <w:color w:val="auto"/>
          <w:lang w:val="en-US" w:eastAsia="zh-CN"/>
        </w:rPr>
      </w:pPr>
      <w:r>
        <w:rPr>
          <w:rFonts w:hint="eastAsia"/>
          <w:color w:val="auto"/>
          <w:lang w:val="en-US" w:eastAsia="zh-CN"/>
        </w:rPr>
        <w:t>2）厂房内部布局应根据所在地区域主流风向，兼有原料药和制剂生产的厂房，原料药生产区应位于制剂生产区全年最大频率风向的下风侧。三废处理、锅炉房等有严重污染的区域，应位于厂区全年最大频率风向的下风侧。</w:t>
      </w:r>
    </w:p>
    <w:p>
      <w:pPr>
        <w:bidi w:val="0"/>
        <w:rPr>
          <w:rFonts w:hint="eastAsia"/>
          <w:color w:val="auto"/>
          <w:lang w:val="en-US" w:eastAsia="zh-CN"/>
        </w:rPr>
      </w:pPr>
      <w:r>
        <w:rPr>
          <w:rFonts w:hint="eastAsia"/>
          <w:color w:val="auto"/>
          <w:lang w:val="en-US" w:eastAsia="zh-CN"/>
        </w:rPr>
        <w:t>（2）围护结构节能要求</w:t>
      </w:r>
    </w:p>
    <w:p>
      <w:pPr>
        <w:bidi w:val="0"/>
        <w:rPr>
          <w:rFonts w:hint="eastAsia"/>
          <w:color w:val="auto"/>
          <w:lang w:val="en-US" w:eastAsia="zh-CN"/>
        </w:rPr>
      </w:pPr>
      <w:r>
        <w:rPr>
          <w:rFonts w:hint="eastAsia"/>
          <w:color w:val="auto"/>
          <w:lang w:val="en-US" w:eastAsia="zh-CN"/>
        </w:rPr>
        <w:t>1）工业建筑围护结构</w:t>
      </w:r>
    </w:p>
    <w:p>
      <w:pPr>
        <w:bidi w:val="0"/>
        <w:rPr>
          <w:rFonts w:hint="eastAsia"/>
          <w:color w:val="auto"/>
          <w:lang w:val="en-US" w:eastAsia="zh-CN"/>
        </w:rPr>
      </w:pPr>
      <w:r>
        <w:rPr>
          <w:rFonts w:hint="eastAsia"/>
          <w:color w:val="auto"/>
          <w:lang w:val="en-US" w:eastAsia="zh-CN"/>
        </w:rPr>
        <w:t>根据《公共建筑节能设计标准》（GB 50189-2015）规定，贵阳市公共建筑热工分区属于温和地区（A区）。依据《工业建筑节能设计统一标准》（GB 51245-2017），对于温和地区的工业建筑围护结构传热指标无具体要求。</w:t>
      </w:r>
    </w:p>
    <w:p>
      <w:pPr>
        <w:bidi w:val="0"/>
        <w:rPr>
          <w:rFonts w:hint="eastAsia"/>
          <w:color w:val="auto"/>
          <w:lang w:val="en-US" w:eastAsia="zh-CN"/>
        </w:rPr>
      </w:pPr>
      <w:r>
        <w:rPr>
          <w:rFonts w:hint="eastAsia"/>
          <w:color w:val="auto"/>
          <w:lang w:val="en-US" w:eastAsia="zh-CN"/>
        </w:rPr>
        <w:t>2）公共建筑、居住建筑围护结构</w:t>
      </w:r>
    </w:p>
    <w:p>
      <w:pPr>
        <w:bidi w:val="0"/>
        <w:rPr>
          <w:rFonts w:hint="eastAsia"/>
          <w:color w:val="auto"/>
          <w:lang w:val="en-US" w:eastAsia="zh-CN"/>
        </w:rPr>
      </w:pPr>
      <w:r>
        <w:rPr>
          <w:rFonts w:hint="eastAsia"/>
          <w:color w:val="auto"/>
          <w:lang w:val="en-US" w:eastAsia="zh-CN"/>
        </w:rPr>
        <w:t>开发区内的办公楼、食堂等公共建的筑围护结构，根据《公共建筑节能设计标准》（GB 50189-2015）温和地区（A区）指标要求：</w:t>
      </w:r>
    </w:p>
    <w:p>
      <w:pPr>
        <w:bidi w:val="0"/>
        <w:rPr>
          <w:rFonts w:hint="eastAsia"/>
          <w:color w:val="auto"/>
          <w:lang w:val="en-US" w:eastAsia="zh-CN"/>
        </w:rPr>
      </w:pPr>
      <w:r>
        <w:rPr>
          <w:rFonts w:hint="eastAsia"/>
          <w:color w:val="auto"/>
          <w:lang w:val="en-US" w:eastAsia="zh-CN"/>
        </w:rPr>
        <w:t>①屋面：热惰性指标D≤2.5，传热系数不大于0.50W/㎡.K热惰性指标D＞2.5，传热系数不大于0.8 0W/㎡.K；</w:t>
      </w:r>
    </w:p>
    <w:p>
      <w:pPr>
        <w:bidi w:val="0"/>
        <w:rPr>
          <w:rFonts w:hint="eastAsia"/>
          <w:color w:val="auto"/>
          <w:lang w:val="en-US" w:eastAsia="zh-CN"/>
        </w:rPr>
      </w:pPr>
      <w:r>
        <w:rPr>
          <w:rFonts w:hint="eastAsia"/>
          <w:color w:val="auto"/>
          <w:lang w:val="en-US" w:eastAsia="zh-CN"/>
        </w:rPr>
        <w:t>②外墙：热惰性指标D≤2.5，传热系数不大于0.80W/㎡.K；热惰性指标D＞2.5，传热系数不大于1.5W/㎡.K；</w:t>
      </w:r>
    </w:p>
    <w:p>
      <w:pPr>
        <w:bidi w:val="0"/>
        <w:rPr>
          <w:rFonts w:hint="eastAsia"/>
          <w:color w:val="auto"/>
          <w:lang w:val="en-US" w:eastAsia="zh-CN"/>
        </w:rPr>
      </w:pPr>
      <w:r>
        <w:rPr>
          <w:rFonts w:hint="eastAsia"/>
          <w:color w:val="auto"/>
          <w:lang w:val="en-US" w:eastAsia="zh-CN"/>
        </w:rPr>
        <w:t>③外窗：开发区内公共建筑外窗各朝向窗墙比，应满足《公共建筑节能设计标准》（GB 50189-2015）表3.3.1-6标准要求。</w:t>
      </w:r>
    </w:p>
    <w:p>
      <w:pPr>
        <w:bidi w:val="0"/>
        <w:rPr>
          <w:rFonts w:hint="eastAsia"/>
          <w:color w:val="auto"/>
          <w:lang w:val="en-US" w:eastAsia="zh-CN"/>
        </w:rPr>
      </w:pPr>
      <w:r>
        <w:rPr>
          <w:rFonts w:hint="eastAsia"/>
          <w:color w:val="auto"/>
          <w:lang w:val="en-US" w:eastAsia="zh-CN"/>
        </w:rPr>
        <w:t>（3）建筑能效指标要求</w:t>
      </w:r>
    </w:p>
    <w:p>
      <w:pPr>
        <w:bidi w:val="0"/>
        <w:rPr>
          <w:rFonts w:hint="eastAsia"/>
          <w:color w:val="auto"/>
          <w:lang w:val="en-US" w:eastAsia="zh-CN"/>
        </w:rPr>
      </w:pPr>
      <w:r>
        <w:rPr>
          <w:rFonts w:hint="eastAsia"/>
          <w:color w:val="auto"/>
          <w:lang w:val="en-US" w:eastAsia="zh-CN"/>
        </w:rPr>
        <w:t>开发区内各类公共建筑单位建筑能效指标，应达到标准《公共机构能耗定额》（DB52-2021），应达到下表要求：</w:t>
      </w:r>
    </w:p>
    <w:p>
      <w:pPr>
        <w:bidi w:val="0"/>
        <w:jc w:val="center"/>
        <w:rPr>
          <w:rFonts w:hint="eastAsia"/>
          <w:color w:val="auto"/>
          <w:lang w:val="en-US" w:eastAsia="zh-CN"/>
        </w:rPr>
      </w:pPr>
      <w:r>
        <w:rPr>
          <w:rFonts w:hint="eastAsia"/>
          <w:color w:val="auto"/>
          <w:lang w:val="en-US" w:eastAsia="zh-CN"/>
        </w:rPr>
        <w:t>表4-4 开发区各类公共建筑能耗指标表</w:t>
      </w:r>
    </w:p>
    <w:tbl>
      <w:tblPr>
        <w:tblStyle w:val="11"/>
        <w:tblW w:w="8329" w:type="dxa"/>
        <w:tblInd w:w="96" w:type="dxa"/>
        <w:tblLayout w:type="autofit"/>
        <w:tblCellMar>
          <w:top w:w="0" w:type="dxa"/>
          <w:left w:w="108" w:type="dxa"/>
          <w:bottom w:w="0" w:type="dxa"/>
          <w:right w:w="108" w:type="dxa"/>
        </w:tblCellMar>
      </w:tblPr>
      <w:tblGrid>
        <w:gridCol w:w="1571"/>
        <w:gridCol w:w="1056"/>
        <w:gridCol w:w="948"/>
        <w:gridCol w:w="949"/>
        <w:gridCol w:w="949"/>
        <w:gridCol w:w="952"/>
        <w:gridCol w:w="952"/>
        <w:gridCol w:w="952"/>
      </w:tblGrid>
      <w:tr>
        <w:tblPrEx>
          <w:tblCellMar>
            <w:top w:w="0" w:type="dxa"/>
            <w:left w:w="108" w:type="dxa"/>
            <w:bottom w:w="0" w:type="dxa"/>
            <w:right w:w="108" w:type="dxa"/>
          </w:tblCellMar>
        </w:tblPrEx>
        <w:trPr>
          <w:trHeight w:val="879" w:hRule="atLeast"/>
        </w:trPr>
        <w:tc>
          <w:tcPr>
            <w:tcW w:w="256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建筑类型</w:t>
            </w:r>
          </w:p>
        </w:tc>
        <w:tc>
          <w:tcPr>
            <w:tcW w:w="28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单位建筑面积能耗（kgce/m</w:t>
            </w:r>
            <w:r>
              <w:rPr>
                <w:rFonts w:hint="default" w:ascii="Times New Roman" w:hAnsi="Times New Roman" w:eastAsia="宋体" w:cs="Times New Roman"/>
                <w:color w:val="auto"/>
                <w:kern w:val="0"/>
                <w:sz w:val="21"/>
                <w:szCs w:val="21"/>
                <w:vertAlign w:val="superscript"/>
                <w:lang w:bidi="ar"/>
              </w:rPr>
              <w:t>2</w:t>
            </w:r>
            <w:r>
              <w:rPr>
                <w:rFonts w:hint="default" w:ascii="Times New Roman" w:hAnsi="Times New Roman" w:eastAsia="宋体" w:cs="Times New Roman"/>
                <w:color w:val="auto"/>
                <w:kern w:val="0"/>
                <w:sz w:val="21"/>
                <w:szCs w:val="21"/>
                <w:lang w:bidi="ar"/>
              </w:rPr>
              <w:t>）</w:t>
            </w:r>
          </w:p>
        </w:tc>
        <w:tc>
          <w:tcPr>
            <w:tcW w:w="28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人均综合能耗（kgce/p）</w:t>
            </w:r>
          </w:p>
        </w:tc>
      </w:tr>
      <w:tr>
        <w:tblPrEx>
          <w:tblCellMar>
            <w:top w:w="0" w:type="dxa"/>
            <w:left w:w="108" w:type="dxa"/>
            <w:bottom w:w="0" w:type="dxa"/>
            <w:right w:w="108" w:type="dxa"/>
          </w:tblCellMar>
        </w:tblPrEx>
        <w:trPr>
          <w:trHeight w:val="288" w:hRule="atLeast"/>
        </w:trPr>
        <w:tc>
          <w:tcPr>
            <w:tcW w:w="256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40"/>
              <w:jc w:val="center"/>
              <w:rPr>
                <w:rFonts w:hint="default" w:ascii="Times New Roman" w:hAnsi="Times New Roman" w:eastAsia="宋体" w:cs="Times New Roman"/>
                <w:color w:val="auto"/>
                <w:sz w:val="21"/>
                <w:szCs w:val="21"/>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约束值</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基准值</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引导值</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约束值</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基准值</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引导值</w:t>
            </w:r>
          </w:p>
        </w:tc>
      </w:tr>
      <w:tr>
        <w:tblPrEx>
          <w:tblCellMar>
            <w:top w:w="0" w:type="dxa"/>
            <w:left w:w="108" w:type="dxa"/>
            <w:bottom w:w="0" w:type="dxa"/>
            <w:right w:w="108" w:type="dxa"/>
          </w:tblCellMar>
        </w:tblPrEx>
        <w:trPr>
          <w:trHeight w:val="679" w:hRule="atLeast"/>
        </w:trPr>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党政机关</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市级及以下机关</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18.4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10.5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387.5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258.1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155.0</w:t>
            </w:r>
          </w:p>
        </w:tc>
      </w:tr>
      <w:tr>
        <w:tblPrEx>
          <w:tblCellMar>
            <w:top w:w="0" w:type="dxa"/>
            <w:left w:w="108" w:type="dxa"/>
            <w:bottom w:w="0" w:type="dxa"/>
            <w:right w:w="108" w:type="dxa"/>
          </w:tblCellMar>
        </w:tblPrEx>
        <w:trPr>
          <w:trHeight w:val="288" w:hRule="atLeast"/>
        </w:trPr>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教育类机构</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高等教育</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5.3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3.4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129.2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82.7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46.0</w:t>
            </w:r>
          </w:p>
        </w:tc>
      </w:tr>
      <w:tr>
        <w:tblPrEx>
          <w:tblCellMar>
            <w:top w:w="0" w:type="dxa"/>
            <w:left w:w="108" w:type="dxa"/>
            <w:bottom w:w="0" w:type="dxa"/>
            <w:right w:w="108" w:type="dxa"/>
          </w:tblCellMar>
        </w:tblPrEx>
        <w:trPr>
          <w:trHeight w:val="288" w:hRule="atLeast"/>
        </w:trPr>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中等教育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70.7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35.4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17.8</w:t>
            </w:r>
          </w:p>
        </w:tc>
      </w:tr>
      <w:tr>
        <w:tblPrEx>
          <w:tblCellMar>
            <w:top w:w="0" w:type="dxa"/>
            <w:left w:w="108" w:type="dxa"/>
            <w:bottom w:w="0" w:type="dxa"/>
            <w:right w:w="108" w:type="dxa"/>
          </w:tblCellMar>
        </w:tblPrEx>
        <w:trPr>
          <w:trHeight w:val="288" w:hRule="atLeast"/>
        </w:trPr>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其它教育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59.8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34.3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15.9</w:t>
            </w:r>
          </w:p>
        </w:tc>
      </w:tr>
      <w:tr>
        <w:tblPrEx>
          <w:tblCellMar>
            <w:top w:w="0" w:type="dxa"/>
            <w:left w:w="108" w:type="dxa"/>
            <w:bottom w:w="0" w:type="dxa"/>
            <w:right w:w="108" w:type="dxa"/>
          </w:tblCellMar>
        </w:tblPrEx>
        <w:trPr>
          <w:trHeight w:val="288" w:hRule="atLeast"/>
        </w:trPr>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卫生医疗类机构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一级医院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205.8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128.4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72.6</w:t>
            </w:r>
          </w:p>
        </w:tc>
      </w:tr>
      <w:tr>
        <w:tblPrEx>
          <w:tblCellMar>
            <w:top w:w="0" w:type="dxa"/>
            <w:left w:w="108" w:type="dxa"/>
            <w:bottom w:w="0" w:type="dxa"/>
            <w:right w:w="108" w:type="dxa"/>
          </w:tblCellMar>
        </w:tblPrEx>
        <w:trPr>
          <w:trHeight w:val="288" w:hRule="atLeast"/>
        </w:trPr>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二级医院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305.2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206.6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118.5</w:t>
            </w:r>
          </w:p>
        </w:tc>
      </w:tr>
      <w:tr>
        <w:tblPrEx>
          <w:tblCellMar>
            <w:top w:w="0" w:type="dxa"/>
            <w:left w:w="108" w:type="dxa"/>
            <w:bottom w:w="0" w:type="dxa"/>
            <w:right w:w="108" w:type="dxa"/>
          </w:tblCellMar>
        </w:tblPrEx>
        <w:trPr>
          <w:trHeight w:val="288" w:hRule="atLeast"/>
        </w:trPr>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三级医院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27.4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413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184.8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185.6</w:t>
            </w:r>
          </w:p>
        </w:tc>
      </w:tr>
      <w:tr>
        <w:tblPrEx>
          <w:tblCellMar>
            <w:top w:w="0" w:type="dxa"/>
            <w:left w:w="108" w:type="dxa"/>
            <w:bottom w:w="0" w:type="dxa"/>
            <w:right w:w="108" w:type="dxa"/>
          </w:tblCellMar>
        </w:tblPrEx>
        <w:trPr>
          <w:trHeight w:val="576" w:hRule="atLeast"/>
        </w:trPr>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场馆类机构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场馆类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246.3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137.6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66.9</w:t>
            </w:r>
          </w:p>
        </w:tc>
      </w:tr>
      <w:tr>
        <w:tblPrEx>
          <w:tblCellMar>
            <w:top w:w="0" w:type="dxa"/>
            <w:left w:w="108" w:type="dxa"/>
            <w:bottom w:w="0" w:type="dxa"/>
            <w:right w:w="108" w:type="dxa"/>
          </w:tblCellMar>
        </w:tblPrEx>
        <w:trPr>
          <w:trHeight w:val="576" w:hRule="atLeast"/>
        </w:trPr>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其他公共机构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359.2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236.5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141.4</w:t>
            </w:r>
          </w:p>
        </w:tc>
      </w:tr>
    </w:tbl>
    <w:p>
      <w:pPr>
        <w:bidi w:val="0"/>
        <w:rPr>
          <w:rFonts w:hint="eastAsia"/>
          <w:color w:val="auto"/>
          <w:lang w:val="en-US" w:eastAsia="zh-CN"/>
        </w:rPr>
      </w:pPr>
    </w:p>
    <w:p>
      <w:pPr>
        <w:bidi w:val="0"/>
        <w:rPr>
          <w:rFonts w:hint="eastAsia"/>
          <w:color w:val="auto"/>
          <w:lang w:val="en-US" w:eastAsia="zh-CN"/>
        </w:rPr>
      </w:pPr>
      <w:r>
        <w:rPr>
          <w:rFonts w:hint="eastAsia"/>
          <w:color w:val="auto"/>
          <w:lang w:val="en-US" w:eastAsia="zh-CN"/>
        </w:rPr>
        <w:t>2、空调系统</w:t>
      </w:r>
    </w:p>
    <w:p>
      <w:pPr>
        <w:bidi w:val="0"/>
        <w:rPr>
          <w:rFonts w:hint="eastAsia"/>
          <w:color w:val="auto"/>
          <w:lang w:val="en-US" w:eastAsia="zh-CN"/>
        </w:rPr>
      </w:pPr>
      <w:r>
        <w:rPr>
          <w:rFonts w:hint="eastAsia"/>
          <w:color w:val="auto"/>
          <w:lang w:val="en-US" w:eastAsia="zh-CN"/>
        </w:rPr>
        <w:t>开发区采暖空调方式应根据工艺需求、生产班制、建筑功能及规模、所在地区气象条件、能源状况、能源政策、环保等要求综合确定。</w:t>
      </w:r>
    </w:p>
    <w:p>
      <w:pPr>
        <w:bidi w:val="0"/>
        <w:rPr>
          <w:rFonts w:hint="eastAsia"/>
          <w:color w:val="auto"/>
          <w:lang w:val="en-US" w:eastAsia="zh-CN"/>
        </w:rPr>
      </w:pPr>
      <w:r>
        <w:rPr>
          <w:rFonts w:hint="eastAsia"/>
          <w:color w:val="auto"/>
          <w:lang w:val="en-US" w:eastAsia="zh-CN"/>
        </w:rPr>
        <w:t xml:space="preserve">（1）节能要求  </w:t>
      </w:r>
    </w:p>
    <w:p>
      <w:pPr>
        <w:bidi w:val="0"/>
        <w:rPr>
          <w:rFonts w:hint="eastAsia"/>
          <w:color w:val="auto"/>
          <w:lang w:val="en-US" w:eastAsia="zh-CN"/>
        </w:rPr>
      </w:pPr>
      <w:r>
        <w:rPr>
          <w:rFonts w:hint="eastAsia"/>
          <w:color w:val="auto"/>
          <w:lang w:val="en-US" w:eastAsia="zh-CN"/>
        </w:rPr>
        <w:t>对于空调系统的选用、空调使用时间、温湿度要求、系统控制要求等注重如下几点：</w:t>
      </w:r>
    </w:p>
    <w:p>
      <w:pPr>
        <w:bidi w:val="0"/>
        <w:rPr>
          <w:rFonts w:hint="eastAsia"/>
          <w:color w:val="auto"/>
          <w:lang w:val="en-US" w:eastAsia="zh-CN"/>
        </w:rPr>
      </w:pPr>
      <w:r>
        <w:rPr>
          <w:rFonts w:hint="eastAsia"/>
          <w:color w:val="auto"/>
          <w:lang w:val="en-US" w:eastAsia="zh-CN"/>
        </w:rPr>
        <w:t>1）对于空调系统冷热源的选择，应结合建筑物的用途、供热情况、当地气候、技术经济性等条件综合确定。在以供暖用热或以供暖用热为主时，应采用热水作为热媒；以工艺用蒸汽为主时，生产厂房、生产辅助用房可采用蒸汽作为热媒；有可利用余热或可再生能源供暖时，热媒及其参数可根据实际可利用具体情况确定。</w:t>
      </w:r>
    </w:p>
    <w:p>
      <w:pPr>
        <w:bidi w:val="0"/>
        <w:rPr>
          <w:rFonts w:hint="eastAsia"/>
          <w:color w:val="auto"/>
          <w:lang w:val="en-US" w:eastAsia="zh-CN"/>
        </w:rPr>
      </w:pPr>
      <w:r>
        <w:rPr>
          <w:rFonts w:hint="eastAsia"/>
          <w:color w:val="auto"/>
          <w:lang w:val="en-US" w:eastAsia="zh-CN"/>
        </w:rPr>
        <w:t>2）对于空调系统主机的选用，制冷机组一般以选用2～4台为宜，中小型规模宜选用2台，较大型可选用3台，特大型可选用4台。机组之间要考虑其互为备用和切换使用的可能性。同一机房内可采用不同类型、不同容量的机组搭配的组合式方案，以节约能耗。并联运行的机组中至少应选择一台自动化程度较高、调节性能较好、能保证部分负荷下能高效运行的机组。选择活塞式冷水机组时，宜优先选用多机头自动联控的冷水机组。</w:t>
      </w:r>
    </w:p>
    <w:p>
      <w:pPr>
        <w:bidi w:val="0"/>
        <w:rPr>
          <w:rFonts w:hint="eastAsia"/>
          <w:color w:val="auto"/>
          <w:lang w:val="en-US" w:eastAsia="zh-CN"/>
        </w:rPr>
      </w:pPr>
      <w:r>
        <w:rPr>
          <w:rFonts w:hint="eastAsia"/>
          <w:color w:val="auto"/>
          <w:lang w:val="en-US" w:eastAsia="zh-CN"/>
        </w:rPr>
        <w:t>3）对于食品药品制造产业，部分工艺有一定的洁净度要求。根据《洁净厂房设计规范》（GB 50073-2013）等相关标准的要求设置洁净空调系统，企业根据各自生产工艺洁净度等级的要求不同，采用的末端形式也不同，末端常采用全空气系统，宜采用定风量运行，空气经空调器处理及初、中、高效三级过滤后送入室内。空气处理设备采用组合式空调器。</w:t>
      </w:r>
    </w:p>
    <w:p>
      <w:pPr>
        <w:bidi w:val="0"/>
        <w:rPr>
          <w:rFonts w:hint="eastAsia"/>
          <w:color w:val="auto"/>
          <w:lang w:val="en-US" w:eastAsia="zh-CN"/>
        </w:rPr>
      </w:pPr>
      <w:r>
        <w:rPr>
          <w:rFonts w:hint="eastAsia"/>
          <w:color w:val="auto"/>
          <w:lang w:val="en-US" w:eastAsia="zh-CN"/>
        </w:rPr>
        <w:t>4）对于区域内企业生产工艺过程的余热进行热回收。</w:t>
      </w:r>
    </w:p>
    <w:p>
      <w:pPr>
        <w:bidi w:val="0"/>
        <w:rPr>
          <w:rFonts w:hint="eastAsia"/>
          <w:color w:val="auto"/>
          <w:lang w:val="en-US" w:eastAsia="zh-CN"/>
        </w:rPr>
      </w:pPr>
      <w:r>
        <w:rPr>
          <w:rFonts w:hint="eastAsia"/>
          <w:color w:val="auto"/>
          <w:lang w:val="en-US" w:eastAsia="zh-CN"/>
        </w:rPr>
        <w:t>（2）能效要求</w:t>
      </w:r>
    </w:p>
    <w:p>
      <w:pPr>
        <w:bidi w:val="0"/>
        <w:rPr>
          <w:rFonts w:hint="eastAsia"/>
          <w:color w:val="auto"/>
          <w:lang w:val="en-US" w:eastAsia="zh-CN"/>
        </w:rPr>
      </w:pPr>
      <w:r>
        <w:rPr>
          <w:rFonts w:hint="eastAsia"/>
          <w:color w:val="auto"/>
          <w:lang w:val="en-US" w:eastAsia="zh-CN"/>
        </w:rPr>
        <w:t>开发区建筑种类较多，空调比较集中的区域主要包括集中办公区域、生产洁净厂房区域等，集中区域比较容易集中统一管理，建议采用中央空调；职工住宿区域，由于用空调区域比较分散，使用时间不统一，采用分体式空调比较合理。</w:t>
      </w:r>
    </w:p>
    <w:p>
      <w:pPr>
        <w:bidi w:val="0"/>
        <w:rPr>
          <w:rFonts w:hint="eastAsia"/>
          <w:color w:val="auto"/>
          <w:lang w:val="en-US" w:eastAsia="zh-CN"/>
        </w:rPr>
      </w:pPr>
      <w:r>
        <w:rPr>
          <w:rFonts w:hint="eastAsia"/>
          <w:color w:val="auto"/>
          <w:lang w:val="en-US" w:eastAsia="zh-CN"/>
        </w:rPr>
        <w:t>1）空调设备</w:t>
      </w:r>
    </w:p>
    <w:p>
      <w:pPr>
        <w:bidi w:val="0"/>
        <w:rPr>
          <w:rFonts w:hint="eastAsia"/>
          <w:color w:val="auto"/>
          <w:lang w:val="en-US" w:eastAsia="zh-CN"/>
        </w:rPr>
      </w:pPr>
      <w:r>
        <w:rPr>
          <w:rFonts w:hint="eastAsia"/>
          <w:color w:val="auto"/>
          <w:lang w:val="en-US" w:eastAsia="zh-CN"/>
        </w:rPr>
        <w:t>开发区采用的空调形式主要包括分体式空调、多联式空调、冷水（热泵）机组能等几种空调形式，空调能效等级要求如下：</w:t>
      </w:r>
    </w:p>
    <w:p>
      <w:pPr>
        <w:bidi w:val="0"/>
        <w:rPr>
          <w:rFonts w:hint="eastAsia"/>
          <w:color w:val="auto"/>
          <w:lang w:val="en-US" w:eastAsia="zh-CN"/>
        </w:rPr>
      </w:pPr>
      <w:r>
        <w:rPr>
          <w:rFonts w:hint="eastAsia"/>
          <w:color w:val="auto"/>
          <w:lang w:val="en-US" w:eastAsia="zh-CN"/>
        </w:rPr>
        <w:t>①分体式空调</w:t>
      </w:r>
    </w:p>
    <w:p>
      <w:pPr>
        <w:bidi w:val="0"/>
        <w:rPr>
          <w:rFonts w:hint="eastAsia"/>
          <w:color w:val="auto"/>
          <w:lang w:val="en-US" w:eastAsia="zh-CN"/>
        </w:rPr>
      </w:pPr>
      <w:r>
        <w:rPr>
          <w:rFonts w:hint="eastAsia"/>
          <w:color w:val="auto"/>
          <w:lang w:val="en-US" w:eastAsia="zh-CN"/>
        </w:rPr>
        <w:t>开发区所选分体式空调应达到《房间空气调节器能效限定值及能效等级》（GB21455-2019）2级及以上能效等级要求。</w:t>
      </w:r>
    </w:p>
    <w:p>
      <w:pPr>
        <w:bidi w:val="0"/>
        <w:rPr>
          <w:rFonts w:hint="eastAsia"/>
          <w:color w:val="auto"/>
          <w:lang w:val="en-US" w:eastAsia="zh-CN"/>
        </w:rPr>
      </w:pPr>
      <w:r>
        <w:rPr>
          <w:rFonts w:hint="eastAsia"/>
          <w:color w:val="auto"/>
          <w:lang w:val="en-US" w:eastAsia="zh-CN"/>
        </w:rPr>
        <w:t>②多联式空调</w:t>
      </w:r>
    </w:p>
    <w:p>
      <w:pPr>
        <w:bidi w:val="0"/>
        <w:rPr>
          <w:rFonts w:hint="eastAsia"/>
          <w:color w:val="auto"/>
          <w:lang w:val="en-US" w:eastAsia="zh-CN"/>
        </w:rPr>
      </w:pPr>
      <w:r>
        <w:rPr>
          <w:rFonts w:hint="eastAsia"/>
          <w:color w:val="auto"/>
          <w:lang w:val="en-US" w:eastAsia="zh-CN"/>
        </w:rPr>
        <w:t>开发区选用的多联式空调室外机机组应满足《公共建筑节能设计标准》（GB 50189-2015）4.2.17名义制冷工况下的制冷综合性能系数IPLV（C）限值要求；应达到《多联式空调（热泵）机组能效限定值及能源效率等级》（GB 21454-2008）中2级及以上能效等级要求。</w:t>
      </w:r>
    </w:p>
    <w:p>
      <w:pPr>
        <w:bidi w:val="0"/>
        <w:rPr>
          <w:rFonts w:hint="eastAsia"/>
          <w:color w:val="auto"/>
          <w:lang w:val="en-US" w:eastAsia="zh-CN"/>
        </w:rPr>
      </w:pPr>
      <w:r>
        <w:rPr>
          <w:rFonts w:hint="eastAsia"/>
          <w:color w:val="auto"/>
          <w:lang w:val="en-US" w:eastAsia="zh-CN"/>
        </w:rPr>
        <w:t>③冷水机组</w:t>
      </w:r>
    </w:p>
    <w:p>
      <w:pPr>
        <w:bidi w:val="0"/>
        <w:rPr>
          <w:rFonts w:hint="eastAsia"/>
          <w:color w:val="auto"/>
          <w:lang w:val="en-US" w:eastAsia="zh-CN"/>
        </w:rPr>
      </w:pPr>
      <w:r>
        <w:rPr>
          <w:rFonts w:hint="eastAsia"/>
          <w:color w:val="auto"/>
          <w:lang w:val="en-US" w:eastAsia="zh-CN"/>
        </w:rPr>
        <w:t>根据《公共建筑节能设计标准》（GB 50189-2015）规定，冷水（热泵）机组的性能系数（COP）不应低于“名义制冷工况和规定条件下冷水（热泵）机组的制冷性能系数（COP）”的数值；冷水机组的综合部分负荷性能系数（IPLV）不应低于“冷水（热泵）机组综合部分负荷性能系数（IPLV）”的数值；应达到《冷水机组能效限定值及能效等级》（GB 19577-2015）中2级及以上能效等级要求。、</w:t>
      </w:r>
    </w:p>
    <w:p>
      <w:pPr>
        <w:bidi w:val="0"/>
        <w:rPr>
          <w:rFonts w:hint="eastAsia"/>
          <w:color w:val="auto"/>
          <w:lang w:val="en-US" w:eastAsia="zh-CN"/>
        </w:rPr>
      </w:pPr>
      <w:r>
        <w:rPr>
          <w:rFonts w:hint="eastAsia"/>
          <w:color w:val="auto"/>
          <w:lang w:val="en-US" w:eastAsia="zh-CN"/>
        </w:rPr>
        <w:t>2）输配水系统</w:t>
      </w:r>
    </w:p>
    <w:p>
      <w:pPr>
        <w:bidi w:val="0"/>
        <w:rPr>
          <w:rFonts w:hint="eastAsia"/>
          <w:color w:val="auto"/>
          <w:lang w:val="en-US" w:eastAsia="zh-CN"/>
        </w:rPr>
      </w:pPr>
      <w:r>
        <w:rPr>
          <w:rFonts w:hint="eastAsia"/>
          <w:color w:val="auto"/>
          <w:lang w:val="en-US" w:eastAsia="zh-CN"/>
        </w:rPr>
        <w:t>①供暖系统的循环水泵</w:t>
      </w:r>
    </w:p>
    <w:p>
      <w:pPr>
        <w:bidi w:val="0"/>
        <w:rPr>
          <w:rFonts w:hint="eastAsia"/>
          <w:color w:val="auto"/>
          <w:lang w:val="en-US" w:eastAsia="zh-CN"/>
        </w:rPr>
      </w:pPr>
      <w:r>
        <w:rPr>
          <w:rFonts w:hint="eastAsia"/>
          <w:color w:val="auto"/>
          <w:lang w:val="en-US" w:eastAsia="zh-CN"/>
        </w:rPr>
        <w:t>根据《公共建筑节能设计标准》（GB 50189-2015）规定，在选配集中供暖系统的循环水泵时，应计算集中供暖系统耗电输热比（EHR-h），集中供暖系统耗电输热比应按下式计算：</w:t>
      </w:r>
    </w:p>
    <w:p>
      <w:pPr>
        <w:bidi w:val="0"/>
        <w:rPr>
          <w:rFonts w:hint="eastAsia"/>
          <w:color w:val="auto"/>
          <w:lang w:val="en-US" w:eastAsia="zh-CN"/>
        </w:rPr>
      </w:pPr>
      <w:r>
        <w:rPr>
          <w:rFonts w:hint="eastAsia"/>
          <w:color w:val="auto"/>
          <w:lang w:val="en-US" w:eastAsia="zh-CN"/>
        </w:rPr>
        <w:t>EHR-h= 0.003096Σ(G×H/η b )/Q ≤A(B +αΣL)/ΔT</w:t>
      </w:r>
    </w:p>
    <w:p>
      <w:pPr>
        <w:bidi w:val="0"/>
        <w:rPr>
          <w:rFonts w:hint="eastAsia"/>
          <w:color w:val="auto"/>
          <w:lang w:val="en-US" w:eastAsia="zh-CN"/>
        </w:rPr>
      </w:pPr>
      <w:r>
        <w:rPr>
          <w:rFonts w:hint="eastAsia"/>
          <w:color w:val="auto"/>
          <w:lang w:val="en-US" w:eastAsia="zh-CN"/>
        </w:rPr>
        <w:t>式中：EHR-h—集中供暖系统耗电输热比；</w:t>
      </w:r>
    </w:p>
    <w:p>
      <w:pPr>
        <w:bidi w:val="0"/>
        <w:rPr>
          <w:rFonts w:hint="eastAsia"/>
          <w:color w:val="auto"/>
          <w:lang w:val="en-US" w:eastAsia="zh-CN"/>
        </w:rPr>
      </w:pPr>
      <w:r>
        <w:rPr>
          <w:rFonts w:hint="eastAsia"/>
          <w:color w:val="auto"/>
          <w:lang w:val="en-US" w:eastAsia="zh-CN"/>
        </w:rPr>
        <w:t>G —每台运行水泵的设计流量（m3/h）；</w:t>
      </w:r>
    </w:p>
    <w:p>
      <w:pPr>
        <w:bidi w:val="0"/>
        <w:rPr>
          <w:rFonts w:hint="eastAsia"/>
          <w:color w:val="auto"/>
          <w:lang w:val="en-US" w:eastAsia="zh-CN"/>
        </w:rPr>
      </w:pPr>
      <w:r>
        <w:rPr>
          <w:rFonts w:hint="eastAsia"/>
          <w:color w:val="auto"/>
          <w:lang w:val="en-US" w:eastAsia="zh-CN"/>
        </w:rPr>
        <w:t>H —每台运行水泵对应的设计扬程（m）；</w:t>
      </w:r>
    </w:p>
    <w:p>
      <w:pPr>
        <w:bidi w:val="0"/>
        <w:rPr>
          <w:rFonts w:hint="eastAsia"/>
          <w:color w:val="auto"/>
          <w:lang w:val="en-US" w:eastAsia="zh-CN"/>
        </w:rPr>
      </w:pPr>
      <w:r>
        <w:rPr>
          <w:rFonts w:hint="eastAsia"/>
          <w:color w:val="auto"/>
          <w:lang w:val="en-US" w:eastAsia="zh-CN"/>
        </w:rPr>
        <w:t>ηb—每台运行水泵对应的设计工作点效率；</w:t>
      </w:r>
    </w:p>
    <w:p>
      <w:pPr>
        <w:bidi w:val="0"/>
        <w:rPr>
          <w:rFonts w:hint="eastAsia"/>
          <w:color w:val="auto"/>
          <w:lang w:val="en-US" w:eastAsia="zh-CN"/>
        </w:rPr>
      </w:pPr>
      <w:r>
        <w:rPr>
          <w:rFonts w:hint="eastAsia"/>
          <w:color w:val="auto"/>
          <w:lang w:val="en-US" w:eastAsia="zh-CN"/>
        </w:rPr>
        <w:t>Q—设计热负荷（kW）；</w:t>
      </w:r>
    </w:p>
    <w:p>
      <w:pPr>
        <w:bidi w:val="0"/>
        <w:rPr>
          <w:rFonts w:hint="eastAsia"/>
          <w:color w:val="auto"/>
          <w:lang w:val="en-US" w:eastAsia="zh-CN"/>
        </w:rPr>
      </w:pPr>
      <w:r>
        <w:rPr>
          <w:rFonts w:hint="eastAsia"/>
          <w:color w:val="auto"/>
          <w:lang w:val="en-US" w:eastAsia="zh-CN"/>
        </w:rPr>
        <w:t>ΔT—设计供回水温差（℃）；</w:t>
      </w:r>
    </w:p>
    <w:p>
      <w:pPr>
        <w:bidi w:val="0"/>
        <w:rPr>
          <w:rFonts w:hint="eastAsia"/>
          <w:color w:val="auto"/>
          <w:lang w:val="en-US" w:eastAsia="zh-CN"/>
        </w:rPr>
      </w:pPr>
      <w:r>
        <w:rPr>
          <w:rFonts w:hint="eastAsia"/>
          <w:color w:val="auto"/>
          <w:lang w:val="en-US" w:eastAsia="zh-CN"/>
        </w:rPr>
        <w:t>A —与水泵流量有关的计算系数；</w:t>
      </w:r>
    </w:p>
    <w:p>
      <w:pPr>
        <w:bidi w:val="0"/>
        <w:rPr>
          <w:rFonts w:hint="eastAsia"/>
          <w:color w:val="auto"/>
          <w:lang w:val="en-US" w:eastAsia="zh-CN"/>
        </w:rPr>
      </w:pPr>
      <w:r>
        <w:rPr>
          <w:rFonts w:hint="eastAsia"/>
          <w:color w:val="auto"/>
          <w:lang w:val="en-US" w:eastAsia="zh-CN"/>
        </w:rPr>
        <w:t>B —与机房及用户的水阻力有关的计算系数，一级泵系统时B 取17，二级泵系统时B取21；</w:t>
      </w:r>
    </w:p>
    <w:p>
      <w:pPr>
        <w:bidi w:val="0"/>
        <w:rPr>
          <w:rFonts w:hint="eastAsia"/>
          <w:color w:val="auto"/>
          <w:lang w:val="en-US" w:eastAsia="zh-CN"/>
        </w:rPr>
      </w:pPr>
      <w:r>
        <w:rPr>
          <w:rFonts w:hint="eastAsia"/>
          <w:color w:val="auto"/>
          <w:lang w:val="en-US" w:eastAsia="zh-CN"/>
        </w:rPr>
        <w:t>∑L —热力站至供暖末端（散热器或辐射供暖分集水器）供回水管道的总长度（m）；</w:t>
      </w:r>
    </w:p>
    <w:p>
      <w:pPr>
        <w:bidi w:val="0"/>
        <w:rPr>
          <w:rFonts w:hint="eastAsia"/>
          <w:color w:val="auto"/>
          <w:lang w:val="en-US" w:eastAsia="zh-CN"/>
        </w:rPr>
      </w:pPr>
      <w:r>
        <w:rPr>
          <w:rFonts w:hint="eastAsia"/>
          <w:color w:val="auto"/>
          <w:lang w:val="en-US" w:eastAsia="zh-CN"/>
        </w:rPr>
        <w:t>α—与∑ L 有关的计算系数。</w:t>
      </w:r>
    </w:p>
    <w:p>
      <w:pPr>
        <w:bidi w:val="0"/>
        <w:rPr>
          <w:rFonts w:hint="eastAsia"/>
          <w:color w:val="auto"/>
          <w:lang w:val="en-US" w:eastAsia="zh-CN"/>
        </w:rPr>
      </w:pPr>
      <w:r>
        <w:rPr>
          <w:rFonts w:hint="eastAsia"/>
          <w:color w:val="auto"/>
          <w:lang w:val="en-US" w:eastAsia="zh-CN"/>
        </w:rPr>
        <w:t>②配空调冷（热）水系统循环水泵</w:t>
      </w:r>
    </w:p>
    <w:p>
      <w:pPr>
        <w:bidi w:val="0"/>
        <w:rPr>
          <w:rFonts w:hint="eastAsia"/>
          <w:color w:val="auto"/>
          <w:lang w:val="en-US" w:eastAsia="zh-CN"/>
        </w:rPr>
      </w:pPr>
      <w:r>
        <w:rPr>
          <w:rFonts w:hint="eastAsia"/>
          <w:color w:val="auto"/>
          <w:lang w:val="en-US" w:eastAsia="zh-CN"/>
        </w:rPr>
        <w:t xml:space="preserve">根据《公共建筑节能设计标准》（GB 50189-2015）规定，在选配空调冷（热）水系统的循环水泵时，应计算空调冷（热）水系统耗电输冷（热）比[EC(H)R-a]，并应标注在施工图的设计说明中。空调冷（热）水系统耗电输冷（热）比计算应符合下列规定： </w:t>
      </w:r>
    </w:p>
    <w:p>
      <w:pPr>
        <w:bidi w:val="0"/>
        <w:rPr>
          <w:rFonts w:hint="eastAsia"/>
          <w:color w:val="auto"/>
          <w:lang w:val="en-US" w:eastAsia="zh-CN"/>
        </w:rPr>
      </w:pPr>
      <w:r>
        <w:rPr>
          <w:rFonts w:hint="eastAsia"/>
          <w:color w:val="auto"/>
          <w:lang w:val="en-US" w:eastAsia="zh-CN"/>
        </w:rPr>
        <w:t>EC(H)R-a = 0.003096 Σ(G×H/η b )/ Q ≤A(B +α∑L)/ΔT</w:t>
      </w:r>
    </w:p>
    <w:p>
      <w:pPr>
        <w:bidi w:val="0"/>
        <w:rPr>
          <w:rFonts w:hint="eastAsia"/>
          <w:color w:val="auto"/>
          <w:lang w:val="en-US" w:eastAsia="zh-CN"/>
        </w:rPr>
      </w:pPr>
      <w:r>
        <w:rPr>
          <w:rFonts w:hint="eastAsia"/>
          <w:color w:val="auto"/>
          <w:lang w:val="en-US" w:eastAsia="zh-CN"/>
        </w:rPr>
        <w:t>式中：EC(H)R-a——空调冷（热）水系统循环水泵的耗电输冷（热）比；</w:t>
      </w:r>
    </w:p>
    <w:p>
      <w:pPr>
        <w:bidi w:val="0"/>
        <w:rPr>
          <w:rFonts w:hint="eastAsia"/>
          <w:color w:val="auto"/>
          <w:lang w:val="en-US" w:eastAsia="zh-CN"/>
        </w:rPr>
      </w:pPr>
      <w:r>
        <w:rPr>
          <w:rFonts w:hint="eastAsia"/>
          <w:color w:val="auto"/>
          <w:lang w:val="en-US" w:eastAsia="zh-CN"/>
        </w:rPr>
        <w:t>G—每台运行水泵的设计流量（m</w:t>
      </w:r>
      <w:r>
        <w:rPr>
          <w:rFonts w:hint="eastAsia"/>
          <w:color w:val="auto"/>
          <w:vertAlign w:val="superscript"/>
          <w:lang w:val="en-US" w:eastAsia="zh-CN"/>
        </w:rPr>
        <w:t>3</w:t>
      </w:r>
      <w:r>
        <w:rPr>
          <w:rFonts w:hint="eastAsia"/>
          <w:color w:val="auto"/>
          <w:lang w:val="en-US" w:eastAsia="zh-CN"/>
        </w:rPr>
        <w:t xml:space="preserve"> /h）；</w:t>
      </w:r>
    </w:p>
    <w:p>
      <w:pPr>
        <w:bidi w:val="0"/>
        <w:rPr>
          <w:rFonts w:hint="eastAsia"/>
          <w:color w:val="auto"/>
          <w:lang w:val="en-US" w:eastAsia="zh-CN"/>
        </w:rPr>
      </w:pPr>
      <w:r>
        <w:rPr>
          <w:rFonts w:hint="eastAsia"/>
          <w:color w:val="auto"/>
          <w:lang w:val="en-US" w:eastAsia="zh-CN"/>
        </w:rPr>
        <w:t>H—每台运行水泵对应的设计扬程（m）；</w:t>
      </w:r>
    </w:p>
    <w:p>
      <w:pPr>
        <w:bidi w:val="0"/>
        <w:rPr>
          <w:rFonts w:hint="eastAsia"/>
          <w:color w:val="auto"/>
          <w:lang w:val="en-US" w:eastAsia="zh-CN"/>
        </w:rPr>
      </w:pPr>
      <w:r>
        <w:rPr>
          <w:rFonts w:hint="eastAsia"/>
          <w:color w:val="auto"/>
          <w:lang w:val="en-US" w:eastAsia="zh-CN"/>
        </w:rPr>
        <w:t>ηb —每台运行水泵对应的设计工作点效率；</w:t>
      </w:r>
    </w:p>
    <w:p>
      <w:pPr>
        <w:bidi w:val="0"/>
        <w:rPr>
          <w:rFonts w:hint="eastAsia"/>
          <w:color w:val="auto"/>
          <w:lang w:val="en-US" w:eastAsia="zh-CN"/>
        </w:rPr>
      </w:pPr>
      <w:r>
        <w:rPr>
          <w:rFonts w:hint="eastAsia"/>
          <w:color w:val="auto"/>
          <w:lang w:val="en-US" w:eastAsia="zh-CN"/>
        </w:rPr>
        <w:t>Q—设计冷（热）负荷（kW）；</w:t>
      </w:r>
    </w:p>
    <w:p>
      <w:pPr>
        <w:bidi w:val="0"/>
        <w:rPr>
          <w:rFonts w:hint="eastAsia"/>
          <w:color w:val="auto"/>
          <w:lang w:val="en-US" w:eastAsia="zh-CN"/>
        </w:rPr>
      </w:pPr>
      <w:r>
        <w:rPr>
          <w:rFonts w:hint="eastAsia"/>
          <w:color w:val="auto"/>
          <w:lang w:val="en-US" w:eastAsia="zh-CN"/>
        </w:rPr>
        <w:t>ΔT—规定的计算供回水温差（℃）；</w:t>
      </w:r>
    </w:p>
    <w:p>
      <w:pPr>
        <w:bidi w:val="0"/>
        <w:rPr>
          <w:rFonts w:hint="eastAsia"/>
          <w:color w:val="auto"/>
          <w:lang w:val="en-US" w:eastAsia="zh-CN"/>
        </w:rPr>
      </w:pPr>
      <w:r>
        <w:rPr>
          <w:rFonts w:hint="eastAsia"/>
          <w:color w:val="auto"/>
          <w:lang w:val="en-US" w:eastAsia="zh-CN"/>
        </w:rPr>
        <w:t>A—与水泵流量有关的计算系数；</w:t>
      </w:r>
    </w:p>
    <w:p>
      <w:pPr>
        <w:bidi w:val="0"/>
        <w:rPr>
          <w:rFonts w:hint="eastAsia"/>
          <w:color w:val="auto"/>
          <w:lang w:val="en-US" w:eastAsia="zh-CN"/>
        </w:rPr>
      </w:pPr>
      <w:r>
        <w:rPr>
          <w:rFonts w:hint="eastAsia"/>
          <w:color w:val="auto"/>
          <w:lang w:val="en-US" w:eastAsia="zh-CN"/>
        </w:rPr>
        <w:t>B—与机房及用户的水阻力有关的计算系数；</w:t>
      </w:r>
    </w:p>
    <w:p>
      <w:pPr>
        <w:bidi w:val="0"/>
        <w:rPr>
          <w:rFonts w:hint="eastAsia"/>
          <w:color w:val="auto"/>
          <w:lang w:val="en-US" w:eastAsia="zh-CN"/>
        </w:rPr>
      </w:pPr>
      <w:r>
        <w:rPr>
          <w:rFonts w:hint="eastAsia"/>
          <w:color w:val="auto"/>
          <w:lang w:val="en-US" w:eastAsia="zh-CN"/>
        </w:rPr>
        <w:t>α—与∑L有关的计算系数；</w:t>
      </w:r>
    </w:p>
    <w:p>
      <w:pPr>
        <w:bidi w:val="0"/>
        <w:rPr>
          <w:rFonts w:hint="eastAsia"/>
          <w:color w:val="auto"/>
          <w:lang w:val="en-US" w:eastAsia="zh-CN"/>
        </w:rPr>
      </w:pPr>
      <w:r>
        <w:rPr>
          <w:rFonts w:hint="eastAsia"/>
          <w:color w:val="auto"/>
          <w:lang w:val="en-US" w:eastAsia="zh-CN"/>
        </w:rPr>
        <w:t>∑L—冷热机房出口至该系统最远用户供回水管道的总输送长度（m）。</w:t>
      </w:r>
    </w:p>
    <w:p>
      <w:pPr>
        <w:bidi w:val="0"/>
        <w:rPr>
          <w:rFonts w:hint="eastAsia"/>
          <w:color w:val="auto"/>
          <w:lang w:val="en-US" w:eastAsia="zh-CN"/>
        </w:rPr>
      </w:pPr>
      <w:r>
        <w:rPr>
          <w:rFonts w:hint="eastAsia"/>
          <w:color w:val="auto"/>
          <w:lang w:val="en-US" w:eastAsia="zh-CN"/>
        </w:rPr>
        <w:t>3）空调风系统</w:t>
      </w:r>
    </w:p>
    <w:p>
      <w:pPr>
        <w:bidi w:val="0"/>
        <w:rPr>
          <w:rFonts w:hint="eastAsia"/>
          <w:color w:val="auto"/>
          <w:lang w:val="en-US" w:eastAsia="zh-CN"/>
        </w:rPr>
      </w:pPr>
      <w:r>
        <w:rPr>
          <w:rFonts w:hint="eastAsia"/>
          <w:color w:val="auto"/>
          <w:lang w:val="en-US" w:eastAsia="zh-CN"/>
        </w:rPr>
        <w:t>根据《公共建筑节能设计标准》（GB 50189-2015）规定，空调风系统风量大于10000m</w:t>
      </w:r>
      <w:r>
        <w:rPr>
          <w:rFonts w:hint="eastAsia"/>
          <w:color w:val="auto"/>
          <w:vertAlign w:val="superscript"/>
          <w:lang w:val="en-US" w:eastAsia="zh-CN"/>
        </w:rPr>
        <w:t>3</w:t>
      </w:r>
      <w:r>
        <w:rPr>
          <w:rFonts w:hint="eastAsia"/>
          <w:color w:val="auto"/>
          <w:lang w:val="en-US" w:eastAsia="zh-CN"/>
        </w:rPr>
        <w:t>/h时，风道系统单位风量耗功率（Ws）不宜大于下表数值。</w:t>
      </w:r>
    </w:p>
    <w:p>
      <w:pPr>
        <w:bidi w:val="0"/>
        <w:jc w:val="center"/>
        <w:rPr>
          <w:rFonts w:hint="eastAsia"/>
          <w:color w:val="auto"/>
          <w:lang w:val="en-US" w:eastAsia="zh-CN"/>
        </w:rPr>
      </w:pPr>
      <w:r>
        <w:rPr>
          <w:rFonts w:hint="eastAsia"/>
          <w:color w:val="auto"/>
          <w:lang w:val="en-US" w:eastAsia="zh-CN"/>
        </w:rPr>
        <w:t>表4-5 风道系统单位风量耗功率能耗指标表</w:t>
      </w:r>
    </w:p>
    <w:tbl>
      <w:tblPr>
        <w:tblStyle w:val="11"/>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101"/>
        <w:gridCol w:w="4111"/>
        <w:gridCol w:w="331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646" w:type="pct"/>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序号</w:t>
            </w:r>
          </w:p>
        </w:tc>
        <w:tc>
          <w:tcPr>
            <w:tcW w:w="2412" w:type="pct"/>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系统形式</w:t>
            </w:r>
          </w:p>
        </w:tc>
        <w:tc>
          <w:tcPr>
            <w:tcW w:w="1942" w:type="pct"/>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Ws限值（W/(m</w:t>
            </w:r>
            <w:r>
              <w:rPr>
                <w:rFonts w:hint="default" w:ascii="Times New Roman" w:hAnsi="Times New Roman" w:eastAsia="宋体" w:cs="Times New Roman"/>
                <w:color w:val="auto"/>
                <w:kern w:val="0"/>
                <w:sz w:val="21"/>
                <w:szCs w:val="21"/>
                <w:vertAlign w:val="superscript"/>
              </w:rPr>
              <w:t xml:space="preserve">3 </w:t>
            </w:r>
            <w:r>
              <w:rPr>
                <w:rFonts w:hint="default" w:ascii="Times New Roman" w:hAnsi="Times New Roman" w:eastAsia="宋体" w:cs="Times New Roman"/>
                <w:color w:val="auto"/>
                <w:kern w:val="0"/>
                <w:sz w:val="21"/>
                <w:szCs w:val="21"/>
              </w:rPr>
              <w:t>/h)）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646" w:type="pct"/>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2412" w:type="pct"/>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新风系统</w:t>
            </w:r>
          </w:p>
        </w:tc>
        <w:tc>
          <w:tcPr>
            <w:tcW w:w="1942" w:type="pct"/>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0.24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646" w:type="pct"/>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2412" w:type="pct"/>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办公建筑定风量系统</w:t>
            </w:r>
          </w:p>
        </w:tc>
        <w:tc>
          <w:tcPr>
            <w:tcW w:w="1942" w:type="pct"/>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0.27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646" w:type="pct"/>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2412" w:type="pct"/>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办公建筑变风量系统</w:t>
            </w:r>
          </w:p>
        </w:tc>
        <w:tc>
          <w:tcPr>
            <w:tcW w:w="1942" w:type="pct"/>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0.29</w:t>
            </w:r>
          </w:p>
        </w:tc>
      </w:tr>
    </w:tbl>
    <w:p>
      <w:pPr>
        <w:bidi w:val="0"/>
        <w:rPr>
          <w:rFonts w:hint="eastAsia"/>
          <w:color w:val="auto"/>
          <w:lang w:val="en-US" w:eastAsia="zh-CN"/>
        </w:rPr>
      </w:pPr>
    </w:p>
    <w:p>
      <w:pPr>
        <w:bidi w:val="0"/>
        <w:rPr>
          <w:rFonts w:hint="eastAsia"/>
          <w:color w:val="auto"/>
          <w:lang w:val="en-US" w:eastAsia="zh-CN"/>
        </w:rPr>
      </w:pPr>
      <w:r>
        <w:rPr>
          <w:rFonts w:hint="eastAsia"/>
          <w:color w:val="auto"/>
          <w:lang w:val="en-US" w:eastAsia="zh-CN"/>
        </w:rPr>
        <w:t>3、通风系统</w:t>
      </w:r>
    </w:p>
    <w:p>
      <w:pPr>
        <w:bidi w:val="0"/>
        <w:rPr>
          <w:rFonts w:hint="eastAsia"/>
          <w:color w:val="auto"/>
          <w:lang w:val="en-US" w:eastAsia="zh-CN"/>
        </w:rPr>
      </w:pPr>
      <w:r>
        <w:rPr>
          <w:rFonts w:hint="eastAsia"/>
          <w:color w:val="auto"/>
          <w:lang w:val="en-US" w:eastAsia="zh-CN"/>
        </w:rPr>
        <w:t>开发区在厂房建筑和各类辅助用房的通风系统设计上，应根据生产工艺需求，确定厂房通风方式，在有较强余热散发的园区建筑中，热压通风的利用可有效改善室内环境，优先采用自然通风的方式，但当通风进风有温湿度或洁净度要求、排风有除尘净化要求、进排风口面积受到限制时采用机械通风方式。</w:t>
      </w:r>
    </w:p>
    <w:p>
      <w:pPr>
        <w:bidi w:val="0"/>
        <w:rPr>
          <w:rFonts w:hint="eastAsia"/>
          <w:color w:val="auto"/>
          <w:lang w:val="en-US" w:eastAsia="zh-CN"/>
        </w:rPr>
      </w:pPr>
      <w:r>
        <w:rPr>
          <w:rFonts w:hint="eastAsia"/>
          <w:color w:val="auto"/>
          <w:lang w:val="en-US" w:eastAsia="zh-CN"/>
        </w:rPr>
        <w:t>（1）节能要求</w:t>
      </w:r>
    </w:p>
    <w:p>
      <w:pPr>
        <w:bidi w:val="0"/>
        <w:rPr>
          <w:rFonts w:hint="eastAsia"/>
          <w:color w:val="auto"/>
          <w:lang w:val="en-US" w:eastAsia="zh-CN"/>
        </w:rPr>
      </w:pPr>
      <w:r>
        <w:rPr>
          <w:rFonts w:hint="eastAsia"/>
          <w:color w:val="auto"/>
          <w:lang w:val="en-US" w:eastAsia="zh-CN"/>
        </w:rPr>
        <w:t>1）建筑通风换气次数应满足《民用建筑供暖通风与空气调节设计规范》（GB50736-2012）的规定要求。</w:t>
      </w:r>
    </w:p>
    <w:p>
      <w:pPr>
        <w:bidi w:val="0"/>
        <w:rPr>
          <w:rFonts w:hint="eastAsia"/>
          <w:color w:val="auto"/>
          <w:lang w:val="en-US" w:eastAsia="zh-CN"/>
        </w:rPr>
      </w:pPr>
      <w:r>
        <w:rPr>
          <w:rFonts w:hint="eastAsia"/>
          <w:color w:val="auto"/>
          <w:lang w:val="en-US" w:eastAsia="zh-CN"/>
        </w:rPr>
        <w:t>2）标准厂房设计机械排风系统，排风采用屋顶风机，补风采用外窗自然补风。</w:t>
      </w:r>
    </w:p>
    <w:p>
      <w:pPr>
        <w:bidi w:val="0"/>
        <w:rPr>
          <w:rFonts w:hint="eastAsia"/>
          <w:color w:val="auto"/>
          <w:lang w:val="en-US" w:eastAsia="zh-CN"/>
        </w:rPr>
      </w:pPr>
      <w:r>
        <w:rPr>
          <w:rFonts w:hint="eastAsia"/>
          <w:color w:val="auto"/>
          <w:lang w:val="en-US" w:eastAsia="zh-CN"/>
        </w:rPr>
        <w:t>3）地下设备用房应按照建筑防火分区分别设置多个独立的机械送、排风系统，以消除设备用房内余热余湿空气。</w:t>
      </w:r>
    </w:p>
    <w:p>
      <w:pPr>
        <w:bidi w:val="0"/>
        <w:rPr>
          <w:rFonts w:hint="eastAsia"/>
          <w:color w:val="auto"/>
          <w:lang w:val="en-US" w:eastAsia="zh-CN"/>
        </w:rPr>
      </w:pPr>
      <w:r>
        <w:rPr>
          <w:rFonts w:hint="eastAsia"/>
          <w:color w:val="auto"/>
          <w:lang w:val="en-US" w:eastAsia="zh-CN"/>
        </w:rPr>
        <w:t>4）地下车库应设置机械通风系统，通风换气次数按6次/时计算，换气体积按3米高度计算，车库中的污浊气体经排风机、风管排入竖井后，再排至室外，室外新风通过送风机或直通室外车道自然进入，风机均应设置在风机房内。</w:t>
      </w:r>
    </w:p>
    <w:p>
      <w:pPr>
        <w:bidi w:val="0"/>
        <w:rPr>
          <w:rFonts w:hint="eastAsia"/>
          <w:color w:val="auto"/>
          <w:lang w:val="en-US" w:eastAsia="zh-CN"/>
        </w:rPr>
      </w:pPr>
      <w:r>
        <w:rPr>
          <w:rFonts w:hint="eastAsia"/>
          <w:color w:val="auto"/>
          <w:lang w:val="en-US" w:eastAsia="zh-CN"/>
        </w:rPr>
        <w:t>5）柴油发电机房排风利用柴油发电机组自带风扇进行排风，送风由独立的土建送风井自然进入。同时，储油间和柴油发电机房设置平时（发电机不工作时）排风系统，其换气次数按5次/小时计算。柴油发电机储油间油箱配套带有通气管，通气管直通室外，在通气管上设有带阻火器的呼吸阀。柴油发电机尾气经管道引至建筑屋面排放。</w:t>
      </w:r>
    </w:p>
    <w:p>
      <w:pPr>
        <w:bidi w:val="0"/>
        <w:rPr>
          <w:rFonts w:hint="eastAsia"/>
          <w:color w:val="auto"/>
          <w:lang w:val="en-US" w:eastAsia="zh-CN"/>
        </w:rPr>
      </w:pPr>
      <w:r>
        <w:rPr>
          <w:rFonts w:hint="eastAsia"/>
          <w:color w:val="auto"/>
          <w:lang w:val="en-US" w:eastAsia="zh-CN"/>
        </w:rPr>
        <w:t>6）设置气体灭火的房间，着火时，关闭送、排风系统风管上的电动阀门密闭灭火。灭火后的机械排风装置风量按房间换气次数不小于5次/小时计算。排风机启停按钮设于防护区外便利处。灭火后的防护区在下部设置排风口（风口底部距地300mm）并直通室外。气体灭火防护区送排风系统电磁阀门应设置手动按钮，手动按钮设置于防护区。</w:t>
      </w:r>
    </w:p>
    <w:p>
      <w:pPr>
        <w:bidi w:val="0"/>
        <w:rPr>
          <w:rFonts w:hint="eastAsia"/>
          <w:color w:val="auto"/>
          <w:lang w:val="en-US" w:eastAsia="zh-CN"/>
        </w:rPr>
      </w:pPr>
      <w:r>
        <w:rPr>
          <w:rFonts w:hint="eastAsia"/>
          <w:color w:val="auto"/>
          <w:lang w:val="en-US" w:eastAsia="zh-CN"/>
        </w:rPr>
        <w:t>（2）能效要求</w:t>
      </w:r>
    </w:p>
    <w:p>
      <w:pPr>
        <w:bidi w:val="0"/>
        <w:rPr>
          <w:rFonts w:hint="eastAsia"/>
          <w:color w:val="auto"/>
          <w:lang w:val="en-US" w:eastAsia="zh-CN"/>
        </w:rPr>
      </w:pPr>
      <w:r>
        <w:rPr>
          <w:rFonts w:hint="eastAsia"/>
          <w:color w:val="auto"/>
          <w:lang w:val="en-US" w:eastAsia="zh-CN"/>
        </w:rPr>
        <w:t>1）风机能效指标</w:t>
      </w:r>
    </w:p>
    <w:p>
      <w:pPr>
        <w:bidi w:val="0"/>
        <w:rPr>
          <w:rFonts w:hint="eastAsia"/>
          <w:color w:val="auto"/>
          <w:lang w:val="en-US" w:eastAsia="zh-CN"/>
        </w:rPr>
      </w:pPr>
      <w:r>
        <w:rPr>
          <w:rFonts w:hint="eastAsia"/>
          <w:color w:val="auto"/>
          <w:lang w:val="en-US" w:eastAsia="zh-CN"/>
        </w:rPr>
        <w:t>开发区采用的通风机能效指标，应达到《通风机能效限定值及能效等级》（GB19761-2020）中2级及以上能效指标要求。</w:t>
      </w:r>
    </w:p>
    <w:p>
      <w:pPr>
        <w:bidi w:val="0"/>
        <w:rPr>
          <w:rFonts w:hint="eastAsia"/>
          <w:color w:val="auto"/>
          <w:lang w:val="en-US" w:eastAsia="zh-CN"/>
        </w:rPr>
      </w:pPr>
      <w:r>
        <w:rPr>
          <w:rFonts w:hint="eastAsia"/>
          <w:color w:val="auto"/>
          <w:lang w:val="en-US" w:eastAsia="zh-CN"/>
        </w:rPr>
        <w:t>2）风道系统能效指标</w:t>
      </w:r>
    </w:p>
    <w:p>
      <w:pPr>
        <w:bidi w:val="0"/>
        <w:rPr>
          <w:rFonts w:hint="eastAsia"/>
          <w:color w:val="auto"/>
          <w:lang w:val="en-US" w:eastAsia="zh-CN"/>
        </w:rPr>
      </w:pPr>
      <w:r>
        <w:rPr>
          <w:rFonts w:hint="eastAsia"/>
          <w:color w:val="auto"/>
          <w:lang w:val="en-US" w:eastAsia="zh-CN"/>
        </w:rPr>
        <w:t>根据《公共建筑节能设计标准》（GB 50189-2015）规定，通风机风量大于10000m</w:t>
      </w:r>
      <w:r>
        <w:rPr>
          <w:rFonts w:hint="eastAsia"/>
          <w:color w:val="auto"/>
          <w:vertAlign w:val="superscript"/>
          <w:lang w:val="en-US" w:eastAsia="zh-CN"/>
        </w:rPr>
        <w:t>3</w:t>
      </w:r>
      <w:r>
        <w:rPr>
          <w:rFonts w:hint="eastAsia"/>
          <w:color w:val="auto"/>
          <w:lang w:val="en-US" w:eastAsia="zh-CN"/>
        </w:rPr>
        <w:t>/h时，所选通风机风道系统单位风量耗功率应不大于0.27W/(m</w:t>
      </w:r>
      <w:r>
        <w:rPr>
          <w:rFonts w:hint="eastAsia"/>
          <w:color w:val="auto"/>
          <w:vertAlign w:val="superscript"/>
          <w:lang w:val="en-US" w:eastAsia="zh-CN"/>
        </w:rPr>
        <w:t>3</w:t>
      </w:r>
      <w:r>
        <w:rPr>
          <w:rFonts w:hint="eastAsia"/>
          <w:color w:val="auto"/>
          <w:lang w:val="en-US" w:eastAsia="zh-CN"/>
        </w:rPr>
        <w:t>/h)。</w:t>
      </w:r>
    </w:p>
    <w:p>
      <w:pPr>
        <w:bidi w:val="0"/>
        <w:rPr>
          <w:rFonts w:hint="eastAsia"/>
          <w:color w:val="auto"/>
          <w:lang w:val="en-US" w:eastAsia="zh-CN"/>
        </w:rPr>
      </w:pPr>
      <w:r>
        <w:rPr>
          <w:rFonts w:hint="eastAsia"/>
          <w:color w:val="auto"/>
          <w:lang w:val="en-US" w:eastAsia="zh-CN"/>
        </w:rPr>
        <w:t>4、照明系统</w:t>
      </w:r>
    </w:p>
    <w:p>
      <w:pPr>
        <w:bidi w:val="0"/>
        <w:rPr>
          <w:rFonts w:hint="eastAsia"/>
          <w:color w:val="auto"/>
          <w:lang w:val="en-US" w:eastAsia="zh-CN"/>
        </w:rPr>
      </w:pPr>
      <w:r>
        <w:rPr>
          <w:rFonts w:hint="eastAsia"/>
          <w:color w:val="auto"/>
          <w:lang w:val="en-US" w:eastAsia="zh-CN"/>
        </w:rPr>
        <w:t xml:space="preserve">开发区照明光源和灯具选择及控制方式应按照《建筑照明设计标准》（GB 50034-2013）和《城市道路照明设计标准》（CJJ45-2015）规定进行。 </w:t>
      </w:r>
    </w:p>
    <w:p>
      <w:pPr>
        <w:bidi w:val="0"/>
        <w:rPr>
          <w:rFonts w:hint="eastAsia"/>
          <w:color w:val="auto"/>
          <w:lang w:val="en-US" w:eastAsia="zh-CN"/>
        </w:rPr>
      </w:pPr>
      <w:r>
        <w:rPr>
          <w:rFonts w:hint="eastAsia"/>
          <w:color w:val="auto"/>
          <w:lang w:val="en-US" w:eastAsia="zh-CN"/>
        </w:rPr>
        <w:t>（1）节能要求</w:t>
      </w:r>
    </w:p>
    <w:p>
      <w:pPr>
        <w:bidi w:val="0"/>
        <w:rPr>
          <w:rFonts w:hint="eastAsia"/>
          <w:color w:val="auto"/>
          <w:lang w:val="en-US" w:eastAsia="zh-CN"/>
        </w:rPr>
      </w:pPr>
      <w:r>
        <w:rPr>
          <w:rFonts w:hint="eastAsia"/>
          <w:color w:val="auto"/>
          <w:lang w:val="en-US" w:eastAsia="zh-CN"/>
        </w:rPr>
        <w:t>1）根据生产情况提供照度，主要工作室一般照明的照度值宜为300lx，辅助工作室、走廊、气闸室、人员净化和物料净化用室的照度值不宜低于150lx，对照度有特殊要求的生产部位可设置局部照明。光源采用小功率节能灯或LED灯。</w:t>
      </w:r>
    </w:p>
    <w:p>
      <w:pPr>
        <w:bidi w:val="0"/>
        <w:rPr>
          <w:rFonts w:hint="eastAsia"/>
          <w:color w:val="auto"/>
          <w:lang w:val="en-US" w:eastAsia="zh-CN"/>
        </w:rPr>
      </w:pPr>
      <w:r>
        <w:rPr>
          <w:rFonts w:hint="eastAsia"/>
          <w:color w:val="auto"/>
          <w:lang w:val="en-US" w:eastAsia="zh-CN"/>
        </w:rPr>
        <w:t>2）工人宿舍及员工公寓建筑：员工宿舍的公共走廊、楼梯间照明采用吸顶灯或筒灯，由声、光控开关控制，电梯间照明采用环形荧光吸顶灯，由跷板开关就地控制。</w:t>
      </w:r>
    </w:p>
    <w:p>
      <w:pPr>
        <w:bidi w:val="0"/>
        <w:rPr>
          <w:rFonts w:hint="eastAsia"/>
          <w:color w:val="auto"/>
          <w:lang w:val="en-US" w:eastAsia="zh-CN"/>
        </w:rPr>
      </w:pPr>
      <w:r>
        <w:rPr>
          <w:rFonts w:hint="eastAsia"/>
          <w:color w:val="auto"/>
          <w:lang w:val="en-US" w:eastAsia="zh-CN"/>
        </w:rPr>
        <w:t>（2）能效要求</w:t>
      </w:r>
    </w:p>
    <w:p>
      <w:pPr>
        <w:bidi w:val="0"/>
        <w:rPr>
          <w:rFonts w:hint="eastAsia"/>
          <w:color w:val="auto"/>
          <w:lang w:val="en-US" w:eastAsia="zh-CN"/>
        </w:rPr>
      </w:pPr>
      <w:r>
        <w:rPr>
          <w:rFonts w:hint="eastAsia"/>
          <w:color w:val="auto"/>
          <w:lang w:val="en-US" w:eastAsia="zh-CN"/>
        </w:rPr>
        <w:t>1）开发区工业和公共建筑非爆炸危险场所照明照度设计和照明功率密度值应符合《建筑照明设计标准》（GB 50034-2013）规定。</w:t>
      </w:r>
    </w:p>
    <w:p>
      <w:pPr>
        <w:bidi w:val="0"/>
        <w:rPr>
          <w:rFonts w:hint="eastAsia"/>
          <w:color w:val="auto"/>
          <w:lang w:val="en-US" w:eastAsia="zh-CN"/>
        </w:rPr>
      </w:pPr>
      <w:r>
        <w:rPr>
          <w:rFonts w:hint="eastAsia"/>
          <w:color w:val="auto"/>
          <w:lang w:val="en-US" w:eastAsia="zh-CN"/>
        </w:rPr>
        <w:t>2）开发区采用的LED灯源，应达到《道路和隧道照明用LED灯具能效限定值及能效等级》（GB 37478-2019）中2级及以上能效等级。</w:t>
      </w:r>
    </w:p>
    <w:p>
      <w:pPr>
        <w:bidi w:val="0"/>
        <w:rPr>
          <w:rFonts w:hint="eastAsia"/>
          <w:color w:val="auto"/>
          <w:lang w:val="en-US" w:eastAsia="zh-CN"/>
        </w:rPr>
      </w:pPr>
      <w:r>
        <w:rPr>
          <w:rFonts w:hint="eastAsia"/>
          <w:color w:val="auto"/>
          <w:lang w:val="en-US" w:eastAsia="zh-CN"/>
        </w:rPr>
        <w:t>3）开发区采用的普通照明用双端荧光灯灯源，应达到《普通照明用双端荧光灯能效限定值及能效等级》中2级及以上能效等级。</w:t>
      </w:r>
    </w:p>
    <w:p>
      <w:pPr>
        <w:bidi w:val="0"/>
        <w:rPr>
          <w:rFonts w:hint="eastAsia"/>
          <w:color w:val="auto"/>
          <w:lang w:val="en-US" w:eastAsia="zh-CN"/>
        </w:rPr>
      </w:pPr>
      <w:r>
        <w:rPr>
          <w:rFonts w:hint="eastAsia"/>
          <w:color w:val="auto"/>
          <w:lang w:val="en-US" w:eastAsia="zh-CN"/>
        </w:rPr>
        <w:t>4）开发区采用的金属卤化物灯灯源，应达到《金属卤化物灯能效限定值及能效等级》（GB20054-2015）中2级及以上能效等级。</w:t>
      </w:r>
    </w:p>
    <w:p>
      <w:pPr>
        <w:bidi w:val="0"/>
        <w:rPr>
          <w:rFonts w:hint="eastAsia"/>
          <w:color w:val="auto"/>
          <w:lang w:val="en-US" w:eastAsia="zh-CN"/>
        </w:rPr>
      </w:pPr>
      <w:r>
        <w:rPr>
          <w:rFonts w:hint="eastAsia"/>
          <w:color w:val="auto"/>
          <w:lang w:val="en-US" w:eastAsia="zh-CN"/>
        </w:rPr>
        <w:t>5、热水系统</w:t>
      </w:r>
    </w:p>
    <w:p>
      <w:pPr>
        <w:bidi w:val="0"/>
        <w:rPr>
          <w:rFonts w:hint="eastAsia"/>
          <w:color w:val="auto"/>
          <w:lang w:val="en-US" w:eastAsia="zh-CN"/>
        </w:rPr>
      </w:pPr>
      <w:r>
        <w:rPr>
          <w:rFonts w:hint="eastAsia"/>
          <w:color w:val="auto"/>
          <w:lang w:val="en-US" w:eastAsia="zh-CN"/>
        </w:rPr>
        <w:t>（1）基本情况</w:t>
      </w:r>
    </w:p>
    <w:p>
      <w:pPr>
        <w:bidi w:val="0"/>
        <w:rPr>
          <w:rFonts w:hint="eastAsia"/>
          <w:color w:val="auto"/>
          <w:lang w:val="en-US" w:eastAsia="zh-CN"/>
        </w:rPr>
      </w:pPr>
      <w:r>
        <w:rPr>
          <w:rFonts w:hint="eastAsia"/>
          <w:color w:val="auto"/>
          <w:lang w:val="en-US" w:eastAsia="zh-CN"/>
        </w:rPr>
        <w:t>开发区企业热水系统一般设置在车间辅房或工厂内生活辅助用房中，热水制备系统的方案基本由所在项目的热源情况决定，开发区热水系统包括家用式容积热水器、空气源热泵、燃气热水锅炉等几种形式。</w:t>
      </w:r>
    </w:p>
    <w:p>
      <w:pPr>
        <w:bidi w:val="0"/>
        <w:rPr>
          <w:rFonts w:hint="eastAsia"/>
          <w:color w:val="auto"/>
          <w:lang w:val="en-US" w:eastAsia="zh-CN"/>
        </w:rPr>
      </w:pPr>
      <w:r>
        <w:rPr>
          <w:rFonts w:hint="eastAsia"/>
          <w:color w:val="auto"/>
          <w:lang w:val="en-US" w:eastAsia="zh-CN"/>
        </w:rPr>
        <w:t>（2）能效要求</w:t>
      </w:r>
    </w:p>
    <w:p>
      <w:pPr>
        <w:bidi w:val="0"/>
        <w:rPr>
          <w:rFonts w:hint="eastAsia"/>
          <w:color w:val="auto"/>
          <w:lang w:val="en-US" w:eastAsia="zh-CN"/>
        </w:rPr>
      </w:pPr>
      <w:r>
        <w:rPr>
          <w:rFonts w:hint="eastAsia"/>
          <w:color w:val="auto"/>
          <w:lang w:val="en-US" w:eastAsia="zh-CN"/>
        </w:rPr>
        <w:t>1）家用容积式电热水器</w:t>
      </w:r>
    </w:p>
    <w:p>
      <w:pPr>
        <w:bidi w:val="0"/>
        <w:rPr>
          <w:rFonts w:hint="eastAsia"/>
          <w:color w:val="auto"/>
          <w:lang w:val="en-US" w:eastAsia="zh-CN"/>
        </w:rPr>
      </w:pPr>
      <w:r>
        <w:rPr>
          <w:rFonts w:hint="eastAsia"/>
          <w:color w:val="auto"/>
          <w:lang w:val="en-US" w:eastAsia="zh-CN"/>
        </w:rPr>
        <w:t>开发区采用的家用容积式电热水器，应达到《储水式电热水器能效限定值及能效等级标准》（GB21519-2008）中2级及以上能效等级。</w:t>
      </w:r>
    </w:p>
    <w:p>
      <w:pPr>
        <w:bidi w:val="0"/>
        <w:rPr>
          <w:rFonts w:hint="eastAsia"/>
          <w:color w:val="auto"/>
          <w:lang w:val="en-US" w:eastAsia="zh-CN"/>
        </w:rPr>
      </w:pPr>
      <w:r>
        <w:rPr>
          <w:rFonts w:hint="eastAsia"/>
          <w:color w:val="auto"/>
          <w:lang w:val="en-US" w:eastAsia="zh-CN"/>
        </w:rPr>
        <w:t>2）空气源热泵机组</w:t>
      </w:r>
    </w:p>
    <w:p>
      <w:pPr>
        <w:bidi w:val="0"/>
        <w:rPr>
          <w:rFonts w:hint="eastAsia"/>
          <w:color w:val="auto"/>
          <w:lang w:val="en-US" w:eastAsia="zh-CN"/>
        </w:rPr>
      </w:pPr>
      <w:r>
        <w:rPr>
          <w:rFonts w:hint="eastAsia"/>
          <w:color w:val="auto"/>
          <w:lang w:val="en-US" w:eastAsia="zh-CN"/>
        </w:rPr>
        <w:t>开发区采用的空气源热泵机组，应达到《热泵热水机（器）能效限定值及能效等级》（GB29541-2013）中2级及以上能效等级。</w:t>
      </w:r>
    </w:p>
    <w:p>
      <w:pPr>
        <w:bidi w:val="0"/>
        <w:rPr>
          <w:rFonts w:hint="eastAsia"/>
          <w:color w:val="auto"/>
          <w:lang w:val="en-US" w:eastAsia="zh-CN"/>
        </w:rPr>
      </w:pPr>
      <w:r>
        <w:rPr>
          <w:rFonts w:hint="eastAsia"/>
          <w:color w:val="auto"/>
          <w:lang w:val="en-US" w:eastAsia="zh-CN"/>
        </w:rPr>
        <w:t>3）燃气热水锅炉</w:t>
      </w:r>
    </w:p>
    <w:p>
      <w:pPr>
        <w:bidi w:val="0"/>
        <w:rPr>
          <w:rFonts w:hint="eastAsia"/>
          <w:color w:val="auto"/>
          <w:lang w:val="en-US" w:eastAsia="zh-CN"/>
        </w:rPr>
      </w:pPr>
      <w:r>
        <w:rPr>
          <w:rFonts w:hint="eastAsia"/>
          <w:color w:val="auto"/>
          <w:lang w:val="en-US" w:eastAsia="zh-CN"/>
        </w:rPr>
        <w:t>开发区采用的燃气热水锅炉，应达到《工业锅炉能效限定值及能效等级》（GB24500-2021）中2级及以上能效等级。</w:t>
      </w:r>
    </w:p>
    <w:p>
      <w:pPr>
        <w:bidi w:val="0"/>
        <w:rPr>
          <w:rFonts w:hint="eastAsia"/>
          <w:color w:val="auto"/>
          <w:lang w:val="en-US" w:eastAsia="zh-CN"/>
        </w:rPr>
      </w:pPr>
      <w:r>
        <w:rPr>
          <w:rFonts w:hint="eastAsia"/>
          <w:color w:val="auto"/>
          <w:lang w:val="en-US" w:eastAsia="zh-CN"/>
        </w:rPr>
        <w:t>6、电梯</w:t>
      </w:r>
    </w:p>
    <w:p>
      <w:pPr>
        <w:bidi w:val="0"/>
        <w:rPr>
          <w:rFonts w:hint="eastAsia"/>
          <w:color w:val="auto"/>
          <w:lang w:val="en-US" w:eastAsia="zh-CN"/>
        </w:rPr>
      </w:pPr>
      <w:r>
        <w:rPr>
          <w:rFonts w:hint="eastAsia"/>
          <w:color w:val="auto"/>
          <w:lang w:val="en-US" w:eastAsia="zh-CN"/>
        </w:rPr>
        <w:t>（1）基本情况</w:t>
      </w:r>
    </w:p>
    <w:p>
      <w:pPr>
        <w:bidi w:val="0"/>
        <w:rPr>
          <w:rFonts w:hint="eastAsia"/>
          <w:color w:val="auto"/>
          <w:lang w:val="en-US" w:eastAsia="zh-CN"/>
        </w:rPr>
      </w:pPr>
      <w:r>
        <w:rPr>
          <w:rFonts w:hint="eastAsia"/>
          <w:color w:val="auto"/>
          <w:lang w:val="en-US" w:eastAsia="zh-CN"/>
        </w:rPr>
        <w:t>电梯系统应根据开发区建筑的使用环境、规模、楼层数、楼层高度等参数合理配置电梯设备。电梯运行模型设定以下控制系统：集选控制、停梯自动控制、开门时间自动控制、最大最小功能控制、优先调度控制、节能运行控制、监控面板控制等，最大限度节约能源。</w:t>
      </w:r>
    </w:p>
    <w:p>
      <w:pPr>
        <w:bidi w:val="0"/>
        <w:rPr>
          <w:rFonts w:hint="eastAsia"/>
          <w:color w:val="auto"/>
          <w:lang w:val="en-US" w:eastAsia="zh-CN"/>
        </w:rPr>
      </w:pPr>
      <w:r>
        <w:rPr>
          <w:rFonts w:hint="eastAsia"/>
          <w:color w:val="auto"/>
          <w:lang w:val="en-US" w:eastAsia="zh-CN"/>
        </w:rPr>
        <w:t>（2）能效要求</w:t>
      </w:r>
    </w:p>
    <w:p>
      <w:pPr>
        <w:bidi w:val="0"/>
        <w:rPr>
          <w:rFonts w:hint="eastAsia"/>
          <w:color w:val="auto"/>
          <w:lang w:val="en-US" w:eastAsia="zh-CN"/>
        </w:rPr>
      </w:pPr>
      <w:r>
        <w:rPr>
          <w:rFonts w:hint="eastAsia"/>
          <w:color w:val="auto"/>
          <w:lang w:val="en-US" w:eastAsia="zh-CN"/>
        </w:rPr>
        <w:t>开发区选用的电梯，建议达到《电梯能效等级》（DB44/T 890-2011）标准待机能效限定值要求，标准载荷能效指标达到4级能效等级要求。</w:t>
      </w:r>
    </w:p>
    <w:p>
      <w:pPr>
        <w:pStyle w:val="3"/>
        <w:bidi w:val="0"/>
        <w:rPr>
          <w:rFonts w:hint="eastAsia"/>
          <w:color w:val="auto"/>
          <w:lang w:val="en-US" w:eastAsia="zh-CN"/>
        </w:rPr>
      </w:pPr>
      <w:bookmarkStart w:id="43" w:name="_Toc18267"/>
      <w:r>
        <w:rPr>
          <w:rFonts w:hint="eastAsia"/>
          <w:color w:val="auto"/>
          <w:lang w:val="en-US" w:eastAsia="zh-CN"/>
        </w:rPr>
        <w:t>4.2 区域各行业经济能效指标分析</w:t>
      </w:r>
      <w:bookmarkEnd w:id="43"/>
    </w:p>
    <w:p>
      <w:pPr>
        <w:rPr>
          <w:rFonts w:hint="eastAsia"/>
          <w:color w:val="auto"/>
          <w:lang w:val="en-US" w:eastAsia="zh-CN"/>
        </w:rPr>
      </w:pPr>
      <w:r>
        <w:rPr>
          <w:rFonts w:hint="eastAsia"/>
          <w:color w:val="auto"/>
          <w:lang w:val="en-US" w:eastAsia="zh-CN"/>
        </w:rPr>
        <w:t>根据开发区规划数据，到2025年，开发区“十四五”末用能总量控制指标为446.65万吨标准煤（等价值），工业增加值能耗控制在1.5358吨标准煤/万元以内。</w:t>
      </w:r>
    </w:p>
    <w:p>
      <w:pPr>
        <w:rPr>
          <w:rFonts w:hint="eastAsia"/>
          <w:color w:val="auto"/>
          <w:lang w:val="en-US" w:eastAsia="zh-CN"/>
        </w:rPr>
      </w:pPr>
      <w:r>
        <w:rPr>
          <w:rFonts w:hint="eastAsia"/>
          <w:color w:val="auto"/>
          <w:lang w:val="en-US" w:eastAsia="zh-CN"/>
        </w:rPr>
        <w:t>开发区引进企业经济指标以2025年预测各行业增加值能耗结果及2025年贵阳市完成增加值能耗下降13%的强度目标值作为准入值，各行业指标数据汇总如下：</w:t>
      </w:r>
    </w:p>
    <w:p>
      <w:pPr>
        <w:jc w:val="center"/>
        <w:rPr>
          <w:rFonts w:hint="eastAsia"/>
          <w:color w:val="auto"/>
          <w:lang w:val="en-US" w:eastAsia="zh-CN"/>
        </w:rPr>
      </w:pPr>
      <w:r>
        <w:rPr>
          <w:rFonts w:hint="eastAsia"/>
          <w:color w:val="auto"/>
          <w:lang w:val="en-US" w:eastAsia="zh-CN"/>
        </w:rPr>
        <w:t>表4-7 区域各行业经济能效指标准入情况</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50"/>
        <w:gridCol w:w="1895"/>
        <w:gridCol w:w="56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序号</w:t>
            </w:r>
          </w:p>
        </w:tc>
        <w:tc>
          <w:tcPr>
            <w:tcW w:w="11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行业</w:t>
            </w:r>
          </w:p>
        </w:tc>
        <w:tc>
          <w:tcPr>
            <w:tcW w:w="3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开发区企业工业</w:t>
            </w:r>
            <w:r>
              <w:rPr>
                <w:rFonts w:hint="eastAsia" w:ascii="仿宋" w:hAnsi="仿宋" w:cs="仿宋"/>
                <w:b w:val="0"/>
                <w:bCs w:val="0"/>
                <w:i w:val="0"/>
                <w:iCs w:val="0"/>
                <w:color w:val="auto"/>
                <w:kern w:val="0"/>
                <w:sz w:val="21"/>
                <w:szCs w:val="21"/>
                <w:u w:val="none"/>
                <w:lang w:val="en-US" w:eastAsia="zh-CN" w:bidi="ar"/>
              </w:rPr>
              <w:t>增加值</w:t>
            </w:r>
            <w:r>
              <w:rPr>
                <w:rFonts w:hint="eastAsia" w:ascii="仿宋" w:hAnsi="仿宋" w:eastAsia="仿宋" w:cs="仿宋"/>
                <w:b w:val="0"/>
                <w:bCs w:val="0"/>
                <w:i w:val="0"/>
                <w:iCs w:val="0"/>
                <w:color w:val="auto"/>
                <w:kern w:val="0"/>
                <w:sz w:val="21"/>
                <w:szCs w:val="21"/>
                <w:u w:val="none"/>
                <w:lang w:val="en-US" w:eastAsia="zh-CN" w:bidi="ar"/>
              </w:rPr>
              <w:t>能耗（tce/万元）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p>
        </w:tc>
        <w:tc>
          <w:tcPr>
            <w:tcW w:w="11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p>
        </w:tc>
        <w:tc>
          <w:tcPr>
            <w:tcW w:w="3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准入值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1</w:t>
            </w:r>
          </w:p>
        </w:tc>
        <w:tc>
          <w:tcPr>
            <w:tcW w:w="1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磷系新材料</w:t>
            </w:r>
          </w:p>
        </w:tc>
        <w:tc>
          <w:tcPr>
            <w:tcW w:w="5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2.187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8"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2</w:t>
            </w:r>
          </w:p>
        </w:tc>
        <w:tc>
          <w:tcPr>
            <w:tcW w:w="1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氯碱化工</w:t>
            </w:r>
          </w:p>
        </w:tc>
        <w:tc>
          <w:tcPr>
            <w:tcW w:w="5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0.566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3</w:t>
            </w:r>
          </w:p>
        </w:tc>
        <w:tc>
          <w:tcPr>
            <w:tcW w:w="1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氟材料</w:t>
            </w:r>
          </w:p>
        </w:tc>
        <w:tc>
          <w:tcPr>
            <w:tcW w:w="5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0.539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4</w:t>
            </w:r>
          </w:p>
        </w:tc>
        <w:tc>
          <w:tcPr>
            <w:tcW w:w="1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钛材料</w:t>
            </w:r>
          </w:p>
        </w:tc>
        <w:tc>
          <w:tcPr>
            <w:tcW w:w="5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1.49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5</w:t>
            </w:r>
          </w:p>
        </w:tc>
        <w:tc>
          <w:tcPr>
            <w:tcW w:w="1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储能产业</w:t>
            </w:r>
          </w:p>
        </w:tc>
        <w:tc>
          <w:tcPr>
            <w:tcW w:w="5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0.844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8"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6</w:t>
            </w:r>
          </w:p>
        </w:tc>
        <w:tc>
          <w:tcPr>
            <w:tcW w:w="1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铝基新材料</w:t>
            </w:r>
          </w:p>
        </w:tc>
        <w:tc>
          <w:tcPr>
            <w:tcW w:w="5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1.916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7</w:t>
            </w:r>
          </w:p>
        </w:tc>
        <w:tc>
          <w:tcPr>
            <w:tcW w:w="1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新型建材</w:t>
            </w:r>
          </w:p>
        </w:tc>
        <w:tc>
          <w:tcPr>
            <w:tcW w:w="5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2.107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8</w:t>
            </w:r>
          </w:p>
        </w:tc>
        <w:tc>
          <w:tcPr>
            <w:tcW w:w="1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特色农产品</w:t>
            </w:r>
          </w:p>
        </w:tc>
        <w:tc>
          <w:tcPr>
            <w:tcW w:w="5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b w:val="0"/>
                <w:bCs w:val="0"/>
                <w:i w:val="0"/>
                <w:iCs w:val="0"/>
                <w:color w:val="auto"/>
                <w:kern w:val="0"/>
                <w:sz w:val="21"/>
                <w:szCs w:val="21"/>
                <w:u w:val="none"/>
                <w:lang w:val="en-US" w:eastAsia="zh-CN" w:bidi="ar"/>
              </w:rPr>
            </w:pPr>
            <w:r>
              <w:rPr>
                <w:rFonts w:hint="eastAsia" w:ascii="仿宋" w:hAnsi="仿宋" w:eastAsia="仿宋" w:cs="仿宋"/>
                <w:b w:val="0"/>
                <w:bCs w:val="0"/>
                <w:i w:val="0"/>
                <w:iCs w:val="0"/>
                <w:color w:val="auto"/>
                <w:kern w:val="0"/>
                <w:sz w:val="21"/>
                <w:szCs w:val="21"/>
                <w:u w:val="none"/>
                <w:lang w:val="en-US" w:eastAsia="zh-CN" w:bidi="ar"/>
              </w:rPr>
              <w:t>0.162</w:t>
            </w:r>
          </w:p>
        </w:tc>
      </w:tr>
    </w:tbl>
    <w:p>
      <w:pPr>
        <w:rPr>
          <w:rFonts w:hint="eastAsia"/>
          <w:color w:val="auto"/>
          <w:lang w:val="en-US" w:eastAsia="zh-CN"/>
        </w:rPr>
      </w:pPr>
    </w:p>
    <w:p>
      <w:pPr>
        <w:pStyle w:val="3"/>
        <w:bidi w:val="0"/>
        <w:rPr>
          <w:rFonts w:hint="eastAsia"/>
          <w:color w:val="auto"/>
          <w:lang w:val="en-US" w:eastAsia="zh-CN"/>
        </w:rPr>
      </w:pPr>
      <w:bookmarkStart w:id="44" w:name="_Toc21094"/>
      <w:r>
        <w:rPr>
          <w:rFonts w:hint="eastAsia"/>
          <w:color w:val="auto"/>
          <w:lang w:val="en-US" w:eastAsia="zh-CN"/>
        </w:rPr>
        <w:t>4.3 区域各行业物理能效指标分析</w:t>
      </w:r>
      <w:bookmarkEnd w:id="44"/>
    </w:p>
    <w:p>
      <w:pPr>
        <w:rPr>
          <w:rFonts w:hint="eastAsia"/>
          <w:color w:val="auto"/>
          <w:lang w:val="en-US" w:eastAsia="zh-CN"/>
        </w:rPr>
      </w:pPr>
      <w:r>
        <w:rPr>
          <w:rFonts w:hint="eastAsia"/>
          <w:color w:val="auto"/>
          <w:lang w:val="en-US" w:eastAsia="zh-CN"/>
        </w:rPr>
        <w:t>根据开发区行业类型分类，通过比照国家及贵州省相关行业执行标准，区域内各用能行业投产后物理能效指标能耗平均值对标分析如下：</w:t>
      </w:r>
    </w:p>
    <w:p>
      <w:pPr>
        <w:rPr>
          <w:rFonts w:hint="eastAsia"/>
          <w:color w:val="auto"/>
          <w:lang w:val="en-US" w:eastAsia="zh-CN"/>
        </w:rPr>
        <w:sectPr>
          <w:pgSz w:w="11906" w:h="16838"/>
          <w:pgMar w:top="1440" w:right="1800" w:bottom="1440" w:left="1800" w:header="851" w:footer="992" w:gutter="0"/>
          <w:pgNumType w:fmt="decimal"/>
          <w:cols w:space="425" w:num="1"/>
          <w:docGrid w:type="lines" w:linePitch="312" w:charSpace="0"/>
        </w:sectPr>
      </w:pPr>
    </w:p>
    <w:p>
      <w:pPr>
        <w:jc w:val="center"/>
        <w:rPr>
          <w:rFonts w:hint="eastAsia"/>
          <w:color w:val="auto"/>
          <w:lang w:val="en-US" w:eastAsia="zh-CN"/>
        </w:rPr>
      </w:pPr>
      <w:r>
        <w:rPr>
          <w:rFonts w:hint="eastAsia"/>
          <w:color w:val="auto"/>
          <w:lang w:val="en-US" w:eastAsia="zh-CN"/>
        </w:rPr>
        <w:t>表4-8 开发区各用能行业物理能效指标表</w:t>
      </w:r>
    </w:p>
    <w:tbl>
      <w:tblPr>
        <w:tblStyle w:val="1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0"/>
        <w:gridCol w:w="1485"/>
        <w:gridCol w:w="1477"/>
        <w:gridCol w:w="3757"/>
        <w:gridCol w:w="1900"/>
        <w:gridCol w:w="783"/>
        <w:gridCol w:w="717"/>
        <w:gridCol w:w="3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711" w:type="pct"/>
            <w:gridSpan w:val="2"/>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系统名称</w:t>
            </w:r>
          </w:p>
        </w:tc>
        <w:tc>
          <w:tcPr>
            <w:tcW w:w="521"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产品</w:t>
            </w:r>
            <w:r>
              <w:rPr>
                <w:rFonts w:hint="eastAsia" w:ascii="Times New Roman" w:hAnsi="Times New Roman" w:eastAsia="宋体" w:cs="Times New Roman"/>
                <w:b/>
                <w:bCs/>
                <w:color w:val="auto"/>
                <w:kern w:val="0"/>
                <w:sz w:val="21"/>
                <w:szCs w:val="21"/>
                <w:highlight w:val="none"/>
                <w:lang w:eastAsia="zh-CN"/>
              </w:rPr>
              <w:t>（设备）</w:t>
            </w:r>
            <w:r>
              <w:rPr>
                <w:rFonts w:hint="default" w:ascii="Times New Roman" w:hAnsi="Times New Roman" w:eastAsia="宋体" w:cs="Times New Roman"/>
                <w:b/>
                <w:bCs/>
                <w:color w:val="auto"/>
                <w:kern w:val="0"/>
                <w:sz w:val="21"/>
                <w:szCs w:val="21"/>
                <w:highlight w:val="none"/>
                <w:lang w:eastAsia="zh-CN"/>
              </w:rPr>
              <w:t>名称</w:t>
            </w:r>
          </w:p>
        </w:tc>
        <w:tc>
          <w:tcPr>
            <w:tcW w:w="132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对标指标名</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指标要求</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建议</w:t>
            </w:r>
          </w:p>
          <w:p>
            <w:pPr>
              <w:widowControl/>
              <w:spacing w:line="240" w:lineRule="auto"/>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达到</w:t>
            </w: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要求</w:t>
            </w:r>
          </w:p>
          <w:p>
            <w:pPr>
              <w:widowControl/>
              <w:spacing w:line="240" w:lineRule="auto"/>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达到</w:t>
            </w:r>
          </w:p>
        </w:tc>
        <w:tc>
          <w:tcPr>
            <w:tcW w:w="124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参照标准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7" w:type="pct"/>
            <w:vMerge w:val="restar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主要生产系统</w:t>
            </w:r>
          </w:p>
        </w:tc>
        <w:tc>
          <w:tcPr>
            <w:tcW w:w="524" w:type="pct"/>
            <w:vMerge w:val="restar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磷系产业</w:t>
            </w:r>
          </w:p>
        </w:tc>
        <w:tc>
          <w:tcPr>
            <w:tcW w:w="521" w:type="pct"/>
            <w:vMerge w:val="restar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现有</w:t>
            </w:r>
            <w:r>
              <w:rPr>
                <w:rFonts w:hint="default" w:ascii="Times New Roman" w:hAnsi="Times New Roman" w:eastAsia="宋体" w:cs="Times New Roman"/>
                <w:color w:val="auto"/>
                <w:kern w:val="0"/>
                <w:sz w:val="21"/>
                <w:szCs w:val="21"/>
                <w:highlight w:val="none"/>
                <w:lang w:eastAsia="zh-CN"/>
              </w:rPr>
              <w:t>黄磷</w:t>
            </w:r>
            <w:r>
              <w:rPr>
                <w:rFonts w:hint="eastAsia" w:ascii="Times New Roman" w:hAnsi="Times New Roman" w:eastAsia="宋体" w:cs="Times New Roman"/>
                <w:color w:val="auto"/>
                <w:kern w:val="0"/>
                <w:sz w:val="21"/>
                <w:szCs w:val="21"/>
                <w:highlight w:val="none"/>
                <w:lang w:eastAsia="zh-CN"/>
              </w:rPr>
              <w:t>生产装置</w:t>
            </w:r>
          </w:p>
        </w:tc>
        <w:tc>
          <w:tcPr>
            <w:tcW w:w="1326" w:type="pct"/>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现有黄磷装置单位产品综合能耗限定值</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3.2tce/t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rPr>
              <w:t>√</w:t>
            </w:r>
          </w:p>
        </w:tc>
        <w:tc>
          <w:tcPr>
            <w:tcW w:w="1240" w:type="pct"/>
            <w:vMerge w:val="restart"/>
            <w:shd w:val="clear" w:color="auto" w:fill="auto"/>
            <w:vAlign w:val="center"/>
          </w:tcPr>
          <w:p>
            <w:pPr>
              <w:pStyle w:val="5"/>
              <w:jc w:val="center"/>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《黄磷单位产品能源消耗限额》（</w:t>
            </w:r>
            <w:r>
              <w:rPr>
                <w:rFonts w:hint="eastAsia" w:ascii="Times New Roman" w:hAnsi="Times New Roman" w:cs="Times New Roman"/>
                <w:color w:val="auto"/>
                <w:sz w:val="21"/>
                <w:szCs w:val="21"/>
                <w:lang w:val="en-US" w:eastAsia="zh-CN"/>
              </w:rPr>
              <w:t>GB 21345-2015</w:t>
            </w:r>
            <w:r>
              <w:rPr>
                <w:rFonts w:hint="eastAsia" w:ascii="Times New Roman" w:hAnsi="Times New Roman"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现有黄磷装置单位产品电耗限定值</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13500kW.h/t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rPr>
              <w:t>√</w:t>
            </w:r>
          </w:p>
        </w:tc>
        <w:tc>
          <w:tcPr>
            <w:tcW w:w="1240" w:type="pct"/>
            <w:vMerge w:val="continue"/>
            <w:shd w:val="clear" w:color="auto" w:fill="auto"/>
            <w:vAlign w:val="center"/>
          </w:tcPr>
          <w:p>
            <w:pPr>
              <w:pStyle w:val="5"/>
              <w:jc w:val="center"/>
              <w:rPr>
                <w:rFonts w:hint="eastAsia"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现有黄磷装置单位产品电炉电耗限定值</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13300kW.h/t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rPr>
              <w:t>√</w:t>
            </w:r>
          </w:p>
        </w:tc>
        <w:tc>
          <w:tcPr>
            <w:tcW w:w="1240" w:type="pct"/>
            <w:vMerge w:val="continue"/>
            <w:shd w:val="clear" w:color="auto" w:fill="auto"/>
            <w:vAlign w:val="center"/>
          </w:tcPr>
          <w:p>
            <w:pPr>
              <w:pStyle w:val="5"/>
              <w:jc w:val="center"/>
              <w:rPr>
                <w:rFonts w:hint="eastAsia"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restar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新建及改扩建</w:t>
            </w:r>
            <w:r>
              <w:rPr>
                <w:rFonts w:hint="default" w:ascii="Times New Roman" w:hAnsi="Times New Roman" w:eastAsia="宋体" w:cs="Times New Roman"/>
                <w:color w:val="auto"/>
                <w:kern w:val="0"/>
                <w:sz w:val="21"/>
                <w:szCs w:val="21"/>
                <w:highlight w:val="none"/>
                <w:lang w:eastAsia="zh-CN"/>
              </w:rPr>
              <w:t>黄磷</w:t>
            </w:r>
            <w:r>
              <w:rPr>
                <w:rFonts w:hint="eastAsia" w:ascii="Times New Roman" w:hAnsi="Times New Roman" w:eastAsia="宋体" w:cs="Times New Roman"/>
                <w:color w:val="auto"/>
                <w:kern w:val="0"/>
                <w:sz w:val="21"/>
                <w:szCs w:val="21"/>
                <w:highlight w:val="none"/>
                <w:lang w:eastAsia="zh-CN"/>
              </w:rPr>
              <w:t>生产装置</w:t>
            </w:r>
          </w:p>
        </w:tc>
        <w:tc>
          <w:tcPr>
            <w:tcW w:w="1326" w:type="pct"/>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新建及改扩建黄磷装置单位产品综合能耗准入值</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2.8tce/t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rPr>
              <w:t>√</w:t>
            </w:r>
          </w:p>
        </w:tc>
        <w:tc>
          <w:tcPr>
            <w:tcW w:w="1240" w:type="pct"/>
            <w:vMerge w:val="continue"/>
            <w:shd w:val="clear" w:color="auto" w:fill="auto"/>
            <w:vAlign w:val="center"/>
          </w:tcPr>
          <w:p>
            <w:pPr>
              <w:pStyle w:val="5"/>
              <w:jc w:val="center"/>
              <w:rPr>
                <w:rFonts w:hint="eastAsia"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新建及改扩建黄磷装置单位产品电耗准入值</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13000kW.h/t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rPr>
              <w:t>√</w:t>
            </w:r>
          </w:p>
        </w:tc>
        <w:tc>
          <w:tcPr>
            <w:tcW w:w="1240" w:type="pct"/>
            <w:vMerge w:val="continue"/>
            <w:shd w:val="clear" w:color="auto" w:fill="auto"/>
            <w:vAlign w:val="center"/>
          </w:tcPr>
          <w:p>
            <w:pPr>
              <w:pStyle w:val="5"/>
              <w:jc w:val="center"/>
              <w:rPr>
                <w:rFonts w:hint="eastAsia"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新建及改扩建黄磷装置单位产品电炉电耗准入值</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12800kW.h/t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rPr>
              <w:t>√</w:t>
            </w:r>
          </w:p>
        </w:tc>
        <w:tc>
          <w:tcPr>
            <w:tcW w:w="1240" w:type="pct"/>
            <w:vMerge w:val="continue"/>
            <w:shd w:val="clear" w:color="auto" w:fill="auto"/>
            <w:vAlign w:val="center"/>
          </w:tcPr>
          <w:p>
            <w:pPr>
              <w:pStyle w:val="5"/>
              <w:jc w:val="center"/>
              <w:rPr>
                <w:rFonts w:hint="eastAsia"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restart"/>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现有磷酸一铵生产装置</w:t>
            </w:r>
          </w:p>
        </w:tc>
        <w:tc>
          <w:tcPr>
            <w:tcW w:w="1326" w:type="pct"/>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现有磷酸一铵装置单位产品能耗限定值（生产工艺：传统法，产品类型：粒状）</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325kgce/t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240" w:type="pct"/>
            <w:vMerge w:val="restart"/>
            <w:shd w:val="clear" w:color="auto" w:fill="auto"/>
            <w:vAlign w:val="center"/>
          </w:tcPr>
          <w:p>
            <w:pPr>
              <w:pStyle w:val="5"/>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《磷酸一铵单位产品能源消耗限额》（</w:t>
            </w:r>
            <w:r>
              <w:rPr>
                <w:rFonts w:hint="eastAsia" w:ascii="Times New Roman" w:hAnsi="Times New Roman" w:cs="Times New Roman"/>
                <w:color w:val="auto"/>
                <w:sz w:val="21"/>
                <w:szCs w:val="21"/>
                <w:lang w:val="en-US" w:eastAsia="zh-CN"/>
              </w:rPr>
              <w:t>GB 29138-2012</w:t>
            </w:r>
            <w:r>
              <w:rPr>
                <w:rFonts w:hint="eastAsia" w:ascii="Times New Roman" w:hAnsi="Times New Roman"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现有磷酸一铵装置单位产品能耗限定值（生产工艺：传统法，产品类型：粉状）</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310kgce/t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pStyle w:val="5"/>
              <w:jc w:val="center"/>
              <w:rPr>
                <w:rFonts w:hint="eastAsia"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现有磷酸一铵装置单位产品能耗限定值（生产工艺：料浆法、Ⅰ类磷矿，产品类型：粒状）</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250kgce/t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240" w:type="pct"/>
            <w:vMerge w:val="continue"/>
            <w:shd w:val="clear" w:color="auto" w:fill="auto"/>
            <w:vAlign w:val="center"/>
          </w:tcPr>
          <w:p>
            <w:pPr>
              <w:pStyle w:val="5"/>
              <w:jc w:val="center"/>
              <w:rPr>
                <w:rFonts w:hint="eastAsia"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现有磷酸一铵装置单位产品能耗限定值（生产工艺：料浆法、Ⅰ类磷矿，产品类型：粉状）</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230kgce/t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pStyle w:val="5"/>
              <w:jc w:val="center"/>
              <w:rPr>
                <w:rFonts w:hint="eastAsia"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26"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现有磷酸一铵装置单位产品能耗限定值（生产工艺：料浆法、Ⅱ类磷矿，产品类型：粒状）</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340kgce/t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pStyle w:val="5"/>
              <w:jc w:val="center"/>
              <w:rPr>
                <w:rFonts w:hint="eastAsia"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现有磷酸一铵装置单位产品能耗限定值（生产工艺：料浆法、Ⅱ类磷矿，产品类型：粉状）</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310kgce/t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pStyle w:val="5"/>
              <w:jc w:val="center"/>
              <w:rPr>
                <w:rFonts w:hint="eastAsia"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59"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restart"/>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yellow"/>
                <w:lang w:eastAsia="zh-CN"/>
              </w:rPr>
            </w:pPr>
            <w:r>
              <w:rPr>
                <w:rFonts w:hint="eastAsia" w:ascii="Times New Roman" w:hAnsi="Times New Roman" w:eastAsia="宋体" w:cs="Times New Roman"/>
                <w:color w:val="auto"/>
                <w:kern w:val="0"/>
                <w:sz w:val="21"/>
                <w:szCs w:val="21"/>
                <w:highlight w:val="none"/>
                <w:lang w:eastAsia="zh-CN"/>
              </w:rPr>
              <w:t>新建磷酸一铵生产装置</w:t>
            </w: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新建磷酸一铵装置单位产品能耗准入值（生产工艺：传统法，产品类型：粒状）</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305kgce/t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pStyle w:val="5"/>
              <w:jc w:val="center"/>
              <w:rPr>
                <w:rFonts w:hint="eastAsia"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yellow"/>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新建磷酸一铵装置单位产品能耗准入值（生产工艺：传统法，产品类型：粉状）</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287kgce/t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pStyle w:val="5"/>
              <w:jc w:val="center"/>
              <w:rPr>
                <w:rFonts w:hint="eastAsia"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yellow"/>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新建磷酸一铵装置单位产品能耗准入值（生产工艺：料浆法，产品类型：粒状）</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210kgce/t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pStyle w:val="5"/>
              <w:jc w:val="center"/>
              <w:rPr>
                <w:rFonts w:hint="eastAsia"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yellow"/>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新建磷酸一铵装置单位产品能耗准入值（生产工艺：料浆法，产品类型：粉状）</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205kgce/t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pStyle w:val="5"/>
              <w:jc w:val="center"/>
              <w:rPr>
                <w:rFonts w:hint="eastAsia"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6"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restart"/>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现有磷酸二铵生产装置</w:t>
            </w:r>
          </w:p>
        </w:tc>
        <w:tc>
          <w:tcPr>
            <w:tcW w:w="1326" w:type="pct"/>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现有磷酸二铵装置单位产品能耗限定值（生产工艺：传统法，产品类型：粒状）</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325kgce/t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highlight w:val="none"/>
              </w:rPr>
              <w:t>√</w:t>
            </w:r>
          </w:p>
        </w:tc>
        <w:tc>
          <w:tcPr>
            <w:tcW w:w="1240" w:type="pct"/>
            <w:vMerge w:val="restart"/>
            <w:shd w:val="clear" w:color="auto" w:fill="auto"/>
            <w:vAlign w:val="center"/>
          </w:tcPr>
          <w:p>
            <w:pPr>
              <w:pStyle w:val="5"/>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eastAsia="zh-CN"/>
              </w:rPr>
              <w:t>《磷酸二铵单位产品能源消耗限额》（</w:t>
            </w:r>
            <w:r>
              <w:rPr>
                <w:rFonts w:hint="eastAsia" w:ascii="Times New Roman" w:hAnsi="Times New Roman" w:cs="Times New Roman"/>
                <w:color w:val="auto"/>
                <w:sz w:val="21"/>
                <w:szCs w:val="21"/>
                <w:lang w:val="en-US" w:eastAsia="zh-CN"/>
              </w:rPr>
              <w:t>GB 29139-2012</w:t>
            </w:r>
            <w:r>
              <w:rPr>
                <w:rFonts w:hint="eastAsia" w:ascii="Times New Roman" w:hAnsi="Times New Roman"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现有磷酸二铵装置单位产品能耗限定值（生产工艺：料浆法，产品类型：粒状）</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260kgce/t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pStyle w:val="5"/>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92"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restar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新建磷酸二铵生产装置</w:t>
            </w: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新建磷酸二铵装置单位产品能耗准入值（生产工艺：传统法，产品类型：粒状）</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305kgce/t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pStyle w:val="5"/>
              <w:jc w:val="center"/>
              <w:rPr>
                <w:rFonts w:hint="eastAsia"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新建磷酸二铵装置单位产品能耗准入值（生产工艺：料浆法，产品类型：粒状）</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220kgce/t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pStyle w:val="5"/>
              <w:jc w:val="center"/>
              <w:rPr>
                <w:rFonts w:hint="eastAsia"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restar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r>
              <w:rPr>
                <w:rFonts w:hint="eastAsia" w:ascii="Times New Roman" w:hAnsi="Times New Roman" w:eastAsia="宋体" w:cs="Times New Roman"/>
                <w:color w:val="auto"/>
                <w:kern w:val="0"/>
                <w:sz w:val="21"/>
                <w:szCs w:val="21"/>
                <w:highlight w:val="none"/>
                <w:lang w:eastAsia="zh-CN"/>
              </w:rPr>
              <w:t>其他化工产业</w:t>
            </w:r>
          </w:p>
        </w:tc>
        <w:tc>
          <w:tcPr>
            <w:tcW w:w="521" w:type="pct"/>
            <w:vMerge w:val="restart"/>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现有合成氨生产企业</w:t>
            </w: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eastAsia="zh-CN"/>
              </w:rPr>
              <w:t>现有合成氨生产企业单位产品能耗限定值（原料类型：优质无烟块煤）</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1500kgce/t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highlight w:val="none"/>
              </w:rPr>
              <w:t>√</w:t>
            </w:r>
          </w:p>
        </w:tc>
        <w:tc>
          <w:tcPr>
            <w:tcW w:w="1240" w:type="pct"/>
            <w:vMerge w:val="restart"/>
            <w:shd w:val="clear" w:color="auto" w:fill="auto"/>
            <w:vAlign w:val="center"/>
          </w:tcPr>
          <w:p>
            <w:pPr>
              <w:pStyle w:val="5"/>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《合成氨单位产品能源消耗限额》（</w:t>
            </w:r>
            <w:r>
              <w:rPr>
                <w:rFonts w:hint="eastAsia" w:ascii="Times New Roman" w:hAnsi="Times New Roman" w:cs="Times New Roman"/>
                <w:color w:val="auto"/>
                <w:sz w:val="21"/>
                <w:szCs w:val="21"/>
                <w:lang w:val="en-US" w:eastAsia="zh-CN"/>
              </w:rPr>
              <w:t>GB 21344-2015</w:t>
            </w:r>
            <w:r>
              <w:rPr>
                <w:rFonts w:hint="eastAsia" w:ascii="Times New Roman" w:hAnsi="Times New Roman"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现有合成氨生产企业单位产品能耗限定值（原料类型：非优质无烟块煤、型煤）</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1700kgce/t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pStyle w:val="5"/>
              <w:jc w:val="center"/>
              <w:rPr>
                <w:rFonts w:hint="eastAsia"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1"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现有合成氨生产企业单位产品能耗限定值（原料类型：粉煤）</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1680kgce/t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pStyle w:val="5"/>
              <w:jc w:val="center"/>
              <w:rPr>
                <w:rFonts w:hint="eastAsia"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现有合成氨生产企业单位产品能耗限定值（原料类型：天然气）</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1250kgce/t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pStyle w:val="5"/>
              <w:jc w:val="center"/>
              <w:rPr>
                <w:rFonts w:hint="eastAsia"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yellow"/>
                <w:lang w:eastAsia="zh-CN"/>
              </w:rPr>
            </w:pPr>
          </w:p>
        </w:tc>
        <w:tc>
          <w:tcPr>
            <w:tcW w:w="521" w:type="pct"/>
            <w:vMerge w:val="restart"/>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新建合成氨生产企业</w:t>
            </w: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新建合成氨生产企业单位产品能耗准入值（原料类型：优质无烟块煤）</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1350kgce/t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pStyle w:val="5"/>
              <w:jc w:val="center"/>
              <w:rPr>
                <w:rFonts w:hint="eastAsia"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新建合成氨生产企业单位产品能耗准入值（原料类型：非优质无烟块煤、型煤）</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1550kgce/t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pStyle w:val="5"/>
              <w:jc w:val="center"/>
              <w:rPr>
                <w:rFonts w:hint="eastAsia"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8"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新建合成氨生产企业单位产品能耗准入值（原料类型：粉煤）</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1650kgce/t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pStyle w:val="5"/>
              <w:jc w:val="center"/>
              <w:rPr>
                <w:rFonts w:hint="eastAsia"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新建合成氨生产企业单位产品能耗准入值（原料类型：天然气）</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1100kgce/t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pStyle w:val="5"/>
              <w:jc w:val="center"/>
              <w:rPr>
                <w:rFonts w:hint="eastAsia"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restart"/>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现有纯碱生产装置</w:t>
            </w: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eastAsia="zh-CN"/>
              </w:rPr>
              <w:t>现有纯碱生产装置单位产品能耗限定值（生产方法：氨碱法，产品：轻质纯碱）</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420kgce/t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highlight w:val="none"/>
              </w:rPr>
              <w:t>√</w:t>
            </w:r>
          </w:p>
        </w:tc>
        <w:tc>
          <w:tcPr>
            <w:tcW w:w="1240" w:type="pct"/>
            <w:vMerge w:val="restar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eastAsia" w:ascii="Times New Roman" w:hAnsi="Times New Roman" w:cs="Times New Roman"/>
                <w:color w:val="auto"/>
                <w:sz w:val="21"/>
                <w:szCs w:val="21"/>
                <w:lang w:eastAsia="zh-CN"/>
              </w:rPr>
              <w:t>《纯碱单位产品能源消耗限额》（</w:t>
            </w:r>
            <w:r>
              <w:rPr>
                <w:rFonts w:hint="eastAsia" w:ascii="Times New Roman" w:hAnsi="Times New Roman" w:cs="Times New Roman"/>
                <w:color w:val="auto"/>
                <w:sz w:val="21"/>
                <w:szCs w:val="21"/>
                <w:lang w:val="en-US" w:eastAsia="zh-CN"/>
              </w:rPr>
              <w:t>GB 29140-2012</w:t>
            </w:r>
            <w:r>
              <w:rPr>
                <w:rFonts w:hint="eastAsia" w:ascii="Times New Roman" w:hAnsi="Times New Roman"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现有纯碱生产装置单位产品能耗限定值（生产方法：氨碱法，产品：重质纯碱）</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480kgce/t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eastAsia"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16"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现有纯碱生产装置单位产品能耗限定值（生产方法：联碱法，产品：轻质纯碱）</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265kgce/t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eastAsia"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现有纯碱生产装置单位产品能耗限定值（生产方法：联碱法，产品：重质纯碱）</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325kgce/t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eastAsia"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restart"/>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新建纯碱生产装置</w:t>
            </w: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新建纯碱生产装置单位产品能耗准入值（生产方法：氨碱法，产品：轻质纯碱）</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370kgce/t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eastAsia"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新建纯碱生产装置单位产品能耗准入值（生产方法：氨碱法，产品：重质纯碱）</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420kgce/t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eastAsia"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新建纯碱生产装置单位产品能耗准入值（生产方法：联碱法，产品：轻质纯碱）</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245kgce/t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eastAsia"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新建纯碱生产装置单位产品能耗准入值（生产方法：联碱法，产品：重质纯碱）</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295kgce/t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eastAsia"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restart"/>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现有工业硫酸生产企业</w:t>
            </w:r>
          </w:p>
        </w:tc>
        <w:tc>
          <w:tcPr>
            <w:tcW w:w="1326" w:type="pct"/>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现有工业硫酸企业单位产品综合能耗限定值（生产原料：硫磺）</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-115kgce/t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240" w:type="pct"/>
            <w:vMerge w:val="restart"/>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《工业硫酸单位产品能源消耗限额》（</w:t>
            </w:r>
            <w:r>
              <w:rPr>
                <w:rFonts w:hint="eastAsia" w:ascii="Times New Roman" w:hAnsi="Times New Roman" w:eastAsia="宋体" w:cs="Times New Roman"/>
                <w:color w:val="auto"/>
                <w:kern w:val="0"/>
                <w:sz w:val="21"/>
                <w:szCs w:val="21"/>
                <w:highlight w:val="none"/>
                <w:lang w:val="en-US" w:eastAsia="zh-CN"/>
              </w:rPr>
              <w:t>GB 29141-2012</w:t>
            </w:r>
            <w:r>
              <w:rPr>
                <w:rFonts w:hint="eastAsia" w:ascii="Times New Roman" w:hAnsi="Times New Roman" w:eastAsia="宋体" w:cs="Times New Roman"/>
                <w:color w:val="auto"/>
                <w:kern w:val="0"/>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现有工业硫酸企业吨酸电耗限定值（生产原料：硫磺）</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85kW.h/t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现有工业硫酸企业单位产品综合能耗限定值（生产原料：硫铁矿）</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-100kgce/t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现有工业硫酸企业吨酸电耗限定值（生产原料：硫铁矿）</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130kW.h/t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现有工业硫酸企业单位产品综合能耗限定值（生产原料：铜、镍冶炼烟气）</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16kgce/t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现有工业硫酸企业吨酸电耗限定值（生产原料：铜、镍冶炼烟气）</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130kW.h/t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现有工业硫酸企业单位产品综合能耗限定值（生产原料：铅冶炼烟气）</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22kgce/t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现有工业硫酸企业吨酸电耗限定值（生产原料：铅冶炼烟气）</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180kW.h/t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现有工业硫酸企业单位产品综合能耗限定值（生产原料：锌冶炼烟气）</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-85kgce/t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现有工业硫酸企业吨酸电耗限定值（生产原料：锌冶炼烟气）</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130kW.h/t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现有工业硫酸企业单位产品综合能耗限定值（生产原料：其他有色金属冶炼烟气）</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34kgce/t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现有工业硫酸企业吨酸电耗限定值（生产原料：其他有色金属冶炼烟气）</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270kW.h/t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7"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restart"/>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新建工业硫酸生产企业</w:t>
            </w: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新建工业硫酸企业单位产品综合能耗准入值（生产原料：硫磺）</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-140kgce/t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新建工业硫酸企业吨酸电耗准入值（生产原料：硫磺）</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70kW.h/t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新建工业硫酸企业单位产品综合能耗准入值（生产原料：硫铁矿）</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-120kgce/t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新建工业硫酸企业吨酸电耗准入值（生产原料：硫铁矿）</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120kW.h/t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新建工业硫酸企业单位产品综合能耗准入值（生产原料：铜、镍冶炼烟气）</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3kgce/t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新建工业硫酸企业吨酸电耗准入值（生产原料：铜、镍冶炼烟气）</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110kW.h/t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4"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新建工业硫酸企业单位产品综合能耗准入值（生产原料：铅冶炼烟气）</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19kgce/t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新建工业硫酸企业吨酸电耗准入值（生产原料：铅冶炼烟气）</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150kW.h/t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新建工业硫酸企业单位产品综合能耗准入值（生产原料：锌冶炼烟气）</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-95kgce/t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新建工业硫酸企业吨酸电耗准入值（生产原料：锌冶炼烟气）</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120kW.h/t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6"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新建工业硫酸企业单位产品综合能耗准入值（生产原料：其他有色金属冶炼烟气）</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-4kgce/t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新建工业硫酸企业吨酸电耗准入值（生产原料：其他有色金属冶炼烟气）</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240kW.h/t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31"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restart"/>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现有煤制甲醇生产企业</w:t>
            </w: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现有煤制甲醇生产企业单位产品能耗限定值（原料：褐煤）</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2400kgce/t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highlight w:val="none"/>
              </w:rPr>
              <w:t>√</w:t>
            </w:r>
          </w:p>
        </w:tc>
        <w:tc>
          <w:tcPr>
            <w:tcW w:w="1240" w:type="pct"/>
            <w:vMerge w:val="restart"/>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《甲醇单位产品能源消耗限额</w:t>
            </w:r>
            <w:r>
              <w:rPr>
                <w:rFonts w:hint="eastAsia" w:ascii="Times New Roman" w:hAnsi="Times New Roman" w:eastAsia="宋体" w:cs="Times New Roman"/>
                <w:color w:val="auto"/>
                <w:kern w:val="0"/>
                <w:sz w:val="21"/>
                <w:szCs w:val="21"/>
                <w:highlight w:val="none"/>
                <w:lang w:val="en-US" w:eastAsia="zh-CN"/>
              </w:rPr>
              <w:t xml:space="preserve"> </w:t>
            </w:r>
            <w:r>
              <w:rPr>
                <w:rFonts w:hint="eastAsia" w:ascii="Times New Roman" w:hAnsi="Times New Roman" w:eastAsia="宋体" w:cs="Times New Roman"/>
                <w:color w:val="auto"/>
                <w:kern w:val="0"/>
                <w:sz w:val="21"/>
                <w:szCs w:val="21"/>
                <w:highlight w:val="none"/>
                <w:lang w:eastAsia="zh-CN"/>
              </w:rPr>
              <w:t>第一部分：煤制甲醇》（</w:t>
            </w:r>
            <w:r>
              <w:rPr>
                <w:rFonts w:hint="eastAsia" w:ascii="Times New Roman" w:hAnsi="Times New Roman" w:eastAsia="宋体" w:cs="Times New Roman"/>
                <w:color w:val="auto"/>
                <w:kern w:val="0"/>
                <w:sz w:val="21"/>
                <w:szCs w:val="21"/>
                <w:highlight w:val="none"/>
                <w:lang w:val="en-US" w:eastAsia="zh-CN"/>
              </w:rPr>
              <w:t>GB 29436.1-2012</w:t>
            </w:r>
            <w:r>
              <w:rPr>
                <w:rFonts w:hint="eastAsia" w:ascii="Times New Roman" w:hAnsi="Times New Roman" w:eastAsia="宋体" w:cs="Times New Roman"/>
                <w:color w:val="auto"/>
                <w:kern w:val="0"/>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现有煤制甲醇生产企业单位产品能耗限定值（原料：烟煤）</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2200kgce/t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现有煤制甲醇生产企业单位产品能耗限定值（原料：无烟煤）</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1800kgce/t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restart"/>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新建煤制甲醇生产企业</w:t>
            </w: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新建煤制甲醇生产企业单位产品能耗准入值（原料：褐煤）</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2000kgce/t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4"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新建煤制甲醇生产企业单位产品能耗准入值（原料：烟煤）</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1800kgce/t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新建煤制甲醇生产企业单位产品能耗准入值（原料：无烟煤）</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1600kgce/t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37"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现有天然气制甲醇生产企业</w:t>
            </w: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现有天然气制甲醇生产企业单位产品能耗限定值</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val="en-US" w:eastAsia="zh-CN" w:bidi="ar-SA"/>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1460kgce/t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highlight w:val="none"/>
              </w:rPr>
              <w:t>√</w:t>
            </w:r>
          </w:p>
        </w:tc>
        <w:tc>
          <w:tcPr>
            <w:tcW w:w="1240" w:type="pct"/>
            <w:vMerge w:val="restart"/>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《甲醇单位产品能源消耗限额</w:t>
            </w:r>
            <w:r>
              <w:rPr>
                <w:rFonts w:hint="eastAsia" w:ascii="Times New Roman" w:hAnsi="Times New Roman" w:eastAsia="宋体" w:cs="Times New Roman"/>
                <w:color w:val="auto"/>
                <w:kern w:val="0"/>
                <w:sz w:val="21"/>
                <w:szCs w:val="21"/>
                <w:highlight w:val="none"/>
                <w:lang w:val="en-US" w:eastAsia="zh-CN"/>
              </w:rPr>
              <w:t xml:space="preserve"> </w:t>
            </w:r>
            <w:r>
              <w:rPr>
                <w:rFonts w:hint="eastAsia" w:ascii="Times New Roman" w:hAnsi="Times New Roman" w:eastAsia="宋体" w:cs="Times New Roman"/>
                <w:color w:val="auto"/>
                <w:kern w:val="0"/>
                <w:sz w:val="21"/>
                <w:szCs w:val="21"/>
                <w:highlight w:val="none"/>
                <w:lang w:eastAsia="zh-CN"/>
              </w:rPr>
              <w:t>第二部分：天然气制甲醇》（</w:t>
            </w:r>
            <w:r>
              <w:rPr>
                <w:rFonts w:hint="eastAsia" w:ascii="Times New Roman" w:hAnsi="Times New Roman" w:eastAsia="宋体" w:cs="Times New Roman"/>
                <w:color w:val="auto"/>
                <w:kern w:val="0"/>
                <w:sz w:val="21"/>
                <w:szCs w:val="21"/>
                <w:highlight w:val="none"/>
                <w:lang w:val="en-US" w:eastAsia="zh-CN"/>
              </w:rPr>
              <w:t>GB 29436.2-2015</w:t>
            </w:r>
            <w:r>
              <w:rPr>
                <w:rFonts w:hint="eastAsia" w:ascii="Times New Roman" w:hAnsi="Times New Roman" w:eastAsia="宋体" w:cs="Times New Roman"/>
                <w:color w:val="auto"/>
                <w:kern w:val="0"/>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新建天然气制甲醇生产企业</w:t>
            </w: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新建天然气制甲醇生产企业单位产品能耗准入值</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1150kgce/t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restart"/>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现有合成氨联产甲醇生产企业</w:t>
            </w: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现有合成氨联产甲醇生产企业单位产品能耗限定值（原料：优质无烟煤）</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1550kgce/t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highlight w:val="none"/>
              </w:rPr>
              <w:t>√</w:t>
            </w:r>
          </w:p>
        </w:tc>
        <w:tc>
          <w:tcPr>
            <w:tcW w:w="1240" w:type="pct"/>
            <w:vMerge w:val="restart"/>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《甲醇单位产品能源消耗限额</w:t>
            </w:r>
            <w:r>
              <w:rPr>
                <w:rFonts w:hint="eastAsia" w:ascii="Times New Roman" w:hAnsi="Times New Roman" w:eastAsia="宋体" w:cs="Times New Roman"/>
                <w:color w:val="auto"/>
                <w:kern w:val="0"/>
                <w:sz w:val="21"/>
                <w:szCs w:val="21"/>
                <w:highlight w:val="none"/>
                <w:lang w:val="en-US" w:eastAsia="zh-CN"/>
              </w:rPr>
              <w:t xml:space="preserve"> </w:t>
            </w:r>
            <w:r>
              <w:rPr>
                <w:rFonts w:hint="eastAsia" w:ascii="Times New Roman" w:hAnsi="Times New Roman" w:eastAsia="宋体" w:cs="Times New Roman"/>
                <w:color w:val="auto"/>
                <w:kern w:val="0"/>
                <w:sz w:val="21"/>
                <w:szCs w:val="21"/>
                <w:highlight w:val="none"/>
                <w:lang w:eastAsia="zh-CN"/>
              </w:rPr>
              <w:t>第三部分：合成氨制甲醇》（</w:t>
            </w:r>
            <w:r>
              <w:rPr>
                <w:rFonts w:hint="eastAsia" w:ascii="Times New Roman" w:hAnsi="Times New Roman" w:eastAsia="宋体" w:cs="Times New Roman"/>
                <w:color w:val="auto"/>
                <w:kern w:val="0"/>
                <w:sz w:val="21"/>
                <w:szCs w:val="21"/>
                <w:highlight w:val="none"/>
                <w:lang w:val="en-US" w:eastAsia="zh-CN"/>
              </w:rPr>
              <w:t>GB 29436.3-2015</w:t>
            </w:r>
            <w:r>
              <w:rPr>
                <w:rFonts w:hint="eastAsia" w:ascii="Times New Roman" w:hAnsi="Times New Roman" w:eastAsia="宋体" w:cs="Times New Roman"/>
                <w:color w:val="auto"/>
                <w:kern w:val="0"/>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现有合成氨联产甲醇生产企业单位产品能耗限定值（原料：非优质无烟煤、型煤）</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1750kgce/t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restart"/>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新建合成氨联产甲醇生产企业</w:t>
            </w: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新建合成氨联产甲醇生产企业单位产品能耗准入值（原料：优质无烟煤）</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val="en-US" w:eastAsia="zh-CN" w:bidi="ar-SA"/>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1350kgce/t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新建合成氨联产甲醇生产企业单位产品能耗准入值（原料：非优质无烟煤、型煤）</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val="en-US" w:eastAsia="zh-CN" w:bidi="ar-SA"/>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1550kgce/t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restart"/>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现有钛白粉生产装置</w:t>
            </w:r>
          </w:p>
        </w:tc>
        <w:tc>
          <w:tcPr>
            <w:tcW w:w="1326" w:type="pct"/>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现有钛白粉单位产品能耗限定值（硫酸法、金红石型）</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1450kgce/t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highlight w:val="none"/>
              </w:rPr>
              <w:t>√</w:t>
            </w:r>
          </w:p>
        </w:tc>
        <w:tc>
          <w:tcPr>
            <w:tcW w:w="1240" w:type="pct"/>
            <w:vMerge w:val="restar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《钛白粉单位产品能源消耗限额》（</w:t>
            </w:r>
            <w:r>
              <w:rPr>
                <w:rFonts w:hint="eastAsia" w:ascii="Times New Roman" w:hAnsi="Times New Roman" w:eastAsia="宋体" w:cs="Times New Roman"/>
                <w:color w:val="auto"/>
                <w:kern w:val="0"/>
                <w:sz w:val="21"/>
                <w:szCs w:val="21"/>
                <w:highlight w:val="none"/>
                <w:lang w:val="en-US" w:eastAsia="zh-CN"/>
              </w:rPr>
              <w:t>GB 32051-2015</w:t>
            </w:r>
            <w:r>
              <w:rPr>
                <w:rFonts w:hint="eastAsia" w:ascii="Times New Roman" w:hAnsi="Times New Roman" w:eastAsia="宋体" w:cs="Times New Roman"/>
                <w:color w:val="auto"/>
                <w:kern w:val="0"/>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现有钛白粉单位产品能耗限定值（硫酸法、锐钛型）</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1150kgce/t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现有钛白粉单位产品能耗限定值（氯化法）</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1000kgce/t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restar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新建钛白粉生产装置</w:t>
            </w: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新建钛白粉单位产品能耗准入值（硫酸法、金红石型）</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1100kgce/t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新建钛白粉单位产品能耗准入值（硫酸法、锐钛型）</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800kgce/t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lang w:eastAsia="zh-CN"/>
              </w:rPr>
            </w:pPr>
          </w:p>
        </w:tc>
        <w:tc>
          <w:tcPr>
            <w:tcW w:w="521"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新建钛白粉单位产品能耗准入值（氯化法）</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900kgce/t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31"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restar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建材产业</w:t>
            </w:r>
          </w:p>
        </w:tc>
        <w:tc>
          <w:tcPr>
            <w:tcW w:w="521" w:type="pct"/>
            <w:vMerge w:val="restart"/>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现有水泥企业</w:t>
            </w:r>
          </w:p>
        </w:tc>
        <w:tc>
          <w:tcPr>
            <w:tcW w:w="1326" w:type="pct"/>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现有水泥企业水泥单位产品能耗限定值（熟料、可比熟料综合煤耗限定值）</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112kgce/t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240" w:type="pct"/>
            <w:vMerge w:val="restart"/>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《水泥单位产品能源消耗限额》（</w:t>
            </w:r>
            <w:r>
              <w:rPr>
                <w:rFonts w:hint="eastAsia" w:ascii="Times New Roman" w:hAnsi="Times New Roman" w:eastAsia="宋体" w:cs="Times New Roman"/>
                <w:color w:val="auto"/>
                <w:kern w:val="0"/>
                <w:sz w:val="21"/>
                <w:szCs w:val="21"/>
                <w:highlight w:val="none"/>
                <w:lang w:val="en-US" w:eastAsia="zh-CN"/>
              </w:rPr>
              <w:t>GB 16780-2012</w:t>
            </w:r>
            <w:r>
              <w:rPr>
                <w:rFonts w:hint="eastAsia" w:ascii="Times New Roman" w:hAnsi="Times New Roman" w:eastAsia="宋体" w:cs="Times New Roman"/>
                <w:color w:val="auto"/>
                <w:kern w:val="0"/>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eastAsia="zh-CN"/>
              </w:rPr>
            </w:pPr>
          </w:p>
        </w:tc>
        <w:tc>
          <w:tcPr>
            <w:tcW w:w="521"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现有水泥企业水泥单位产品能耗限定值（熟料、可比熟料综合电耗限定值）</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64kW.h/t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eastAsia="zh-CN"/>
              </w:rPr>
            </w:pPr>
          </w:p>
        </w:tc>
        <w:tc>
          <w:tcPr>
            <w:tcW w:w="521"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现有水泥企业水泥单位产品能耗限定值（水泥、无外购熟料、可比水泥综合电耗限定值）</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90kW.h/t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eastAsia="zh-CN"/>
              </w:rPr>
            </w:pPr>
          </w:p>
        </w:tc>
        <w:tc>
          <w:tcPr>
            <w:tcW w:w="521"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现有水泥企业水泥单位产品能耗限定值（水泥、无外购熟料、可比水泥综合能耗限定值）</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98kgce/t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eastAsia="zh-CN"/>
              </w:rPr>
            </w:pPr>
          </w:p>
        </w:tc>
        <w:tc>
          <w:tcPr>
            <w:tcW w:w="521"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现有水泥企业水泥单位产品能耗限定值（水泥、外购熟料、可比水泥综合电耗限定值）</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40kW.h/t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eastAsia="zh-CN"/>
              </w:rPr>
            </w:pPr>
          </w:p>
        </w:tc>
        <w:tc>
          <w:tcPr>
            <w:tcW w:w="521"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现有水泥企业水泥单位产品能耗限定值（水泥、外购熟料、可比水泥综合能耗限定值）</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8kgce/t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4"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eastAsia="zh-CN"/>
              </w:rPr>
            </w:pPr>
          </w:p>
        </w:tc>
        <w:tc>
          <w:tcPr>
            <w:tcW w:w="521" w:type="pct"/>
            <w:vMerge w:val="restart"/>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新建水泥生产企业</w:t>
            </w:r>
          </w:p>
        </w:tc>
        <w:tc>
          <w:tcPr>
            <w:tcW w:w="1326" w:type="pct"/>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新建水泥企业水泥单位产品能耗准入值（熟料、可比熟料综合煤耗限定值）</w:t>
            </w:r>
          </w:p>
        </w:tc>
        <w:tc>
          <w:tcPr>
            <w:tcW w:w="670" w:type="pct"/>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108kgce/t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eastAsia="zh-CN"/>
              </w:rPr>
            </w:pPr>
          </w:p>
        </w:tc>
        <w:tc>
          <w:tcPr>
            <w:tcW w:w="521"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326" w:type="pct"/>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新建水泥企业水泥单位产品能耗准入值（熟料、可比熟料综合电耗限定值）</w:t>
            </w:r>
          </w:p>
        </w:tc>
        <w:tc>
          <w:tcPr>
            <w:tcW w:w="670" w:type="pct"/>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60kW.h/t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eastAsia="zh-CN"/>
              </w:rPr>
            </w:pPr>
          </w:p>
        </w:tc>
        <w:tc>
          <w:tcPr>
            <w:tcW w:w="521"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326" w:type="pct"/>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新建水泥企业水泥单位产品能耗准入值（水泥、无外购熟料、可比水泥综合电耗限定值）</w:t>
            </w:r>
          </w:p>
        </w:tc>
        <w:tc>
          <w:tcPr>
            <w:tcW w:w="670" w:type="pct"/>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88kW.h/t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eastAsia="zh-CN"/>
              </w:rPr>
            </w:pPr>
          </w:p>
        </w:tc>
        <w:tc>
          <w:tcPr>
            <w:tcW w:w="521"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326" w:type="pct"/>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新建水泥企业水泥单位产品能耗准入值（水泥、无外购熟料、可比水泥综合能耗限定值）</w:t>
            </w:r>
          </w:p>
        </w:tc>
        <w:tc>
          <w:tcPr>
            <w:tcW w:w="670" w:type="pct"/>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93kgce/t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eastAsia="zh-CN"/>
              </w:rPr>
            </w:pPr>
          </w:p>
        </w:tc>
        <w:tc>
          <w:tcPr>
            <w:tcW w:w="521"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326" w:type="pct"/>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新建水泥企业水泥单位产品能耗准入值（水泥、外购熟料、可比水泥综合电耗限定值）</w:t>
            </w:r>
          </w:p>
        </w:tc>
        <w:tc>
          <w:tcPr>
            <w:tcW w:w="670" w:type="pct"/>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36kW.h/t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eastAsia="zh-CN"/>
              </w:rPr>
            </w:pPr>
          </w:p>
        </w:tc>
        <w:tc>
          <w:tcPr>
            <w:tcW w:w="521"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326" w:type="pct"/>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新建水泥企业水泥单位产品能耗准入值（水泥、外购熟料、可比水泥综合能耗限定值）</w:t>
            </w:r>
          </w:p>
        </w:tc>
        <w:tc>
          <w:tcPr>
            <w:tcW w:w="670" w:type="pct"/>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7.5kgce/t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240"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7" w:type="pct"/>
            <w:vMerge w:val="continue"/>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restar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食品药品制造产业</w:t>
            </w:r>
          </w:p>
        </w:tc>
        <w:tc>
          <w:tcPr>
            <w:tcW w:w="521"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碳酸饮料</w:t>
            </w: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单位产品综合能耗</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≤15kgce/t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240" w:type="pct"/>
            <w:vMerge w:val="restar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《饮料制造综合能耗限额》（QB/T4069-2010）</w:t>
            </w:r>
          </w:p>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（根据标准规定对能耗限额指标进行修正）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1"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包装饮用水</w:t>
            </w:r>
          </w:p>
        </w:tc>
        <w:tc>
          <w:tcPr>
            <w:tcW w:w="132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单位产品综合能耗</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240"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1"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茶饮料</w:t>
            </w:r>
          </w:p>
        </w:tc>
        <w:tc>
          <w:tcPr>
            <w:tcW w:w="132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单位产品综合能耗</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240"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1"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果蔬汁类饮料</w:t>
            </w: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单位产品综合能耗</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240"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1"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特殊用途饮料</w:t>
            </w: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单位产品综合能耗</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240"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1"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风味饮料</w:t>
            </w: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单位产品综合能耗</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240"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1"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植物饮料</w:t>
            </w: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单位产品综合能耗</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240"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1"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植物蛋白</w:t>
            </w: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单位产品综合能耗</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240"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1"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复合蛋白</w:t>
            </w: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单位产品综合能耗</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240"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1"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咖啡饮料</w:t>
            </w: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单位产品综合能耗</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240"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1"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谷物饮料</w:t>
            </w: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单位产品综合能耗</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240"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1"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含乳饮料</w:t>
            </w: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单位产品综合能耗</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≤55kgce/t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240"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1"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固体饮料</w:t>
            </w: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单位产品综合能耗</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≤35kgce/t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240"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1"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浓缩果蔬汁</w:t>
            </w: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单位产品综合能耗</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≤500kgce/t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240"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c>
          <w:tcPr>
            <w:tcW w:w="521"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果蔬原浆</w:t>
            </w: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单位产品综合能耗</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≤500kgce/t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240"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187" w:type="pct"/>
            <w:vMerge w:val="restar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企业辅助用能系统</w:t>
            </w:r>
          </w:p>
        </w:tc>
        <w:tc>
          <w:tcPr>
            <w:tcW w:w="524" w:type="pct"/>
            <w:vMerge w:val="restar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热力系统</w:t>
            </w:r>
          </w:p>
        </w:tc>
        <w:tc>
          <w:tcPr>
            <w:tcW w:w="521"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热源</w:t>
            </w:r>
          </w:p>
        </w:tc>
        <w:tc>
          <w:tcPr>
            <w:tcW w:w="132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锅炉单位供热量能耗</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高于27.55MJ/tce</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24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《工业锅炉能效限定值及能效等级》（GB24500-2021）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6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1" w:type="pct"/>
            <w:vMerge w:val="restar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输配系统</w:t>
            </w:r>
          </w:p>
        </w:tc>
        <w:tc>
          <w:tcPr>
            <w:tcW w:w="132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热力输送热损失</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不高于2%</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240" w:type="pct"/>
            <w:vMerge w:val="restar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《设备及管道绝热技术通则》（GB/T 4272-2008）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1"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32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保温材料热导率</w:t>
            </w:r>
          </w:p>
        </w:tc>
        <w:tc>
          <w:tcPr>
            <w:tcW w:w="67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在平均温度为298K（25℃）时热导率值不应大于0.08W/（m·K）</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240"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9"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4" w:type="pct"/>
            <w:vMerge w:val="restar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供配电系统</w:t>
            </w:r>
          </w:p>
        </w:tc>
        <w:tc>
          <w:tcPr>
            <w:tcW w:w="521" w:type="pct"/>
            <w:vMerge w:val="restar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线路损失</w:t>
            </w:r>
          </w:p>
        </w:tc>
        <w:tc>
          <w:tcPr>
            <w:tcW w:w="132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一级变压级数</w:t>
            </w:r>
          </w:p>
        </w:tc>
        <w:tc>
          <w:tcPr>
            <w:tcW w:w="67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不高于3.5%</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240" w:type="pct"/>
            <w:vMerge w:val="restar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《评价企业合理用电技术导则》（GB/T 3485-1998）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1"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32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二级变压级数</w:t>
            </w:r>
          </w:p>
        </w:tc>
        <w:tc>
          <w:tcPr>
            <w:tcW w:w="67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不高于5.5%</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240"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1"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32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三级变压级数</w:t>
            </w:r>
          </w:p>
        </w:tc>
        <w:tc>
          <w:tcPr>
            <w:tcW w:w="67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不高于9%</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240"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1" w:type="pct"/>
            <w:vMerge w:val="restar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日负荷率</w:t>
            </w:r>
          </w:p>
        </w:tc>
        <w:tc>
          <w:tcPr>
            <w:tcW w:w="132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连续性生产</w:t>
            </w:r>
          </w:p>
        </w:tc>
        <w:tc>
          <w:tcPr>
            <w:tcW w:w="67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不低于95%</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240"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1"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32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三班制生产</w:t>
            </w:r>
          </w:p>
        </w:tc>
        <w:tc>
          <w:tcPr>
            <w:tcW w:w="67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不低于85%</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240"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1"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32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二班制生产</w:t>
            </w:r>
          </w:p>
        </w:tc>
        <w:tc>
          <w:tcPr>
            <w:tcW w:w="67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不低于60%</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240"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1"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32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一班制生产</w:t>
            </w:r>
          </w:p>
        </w:tc>
        <w:tc>
          <w:tcPr>
            <w:tcW w:w="67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不低于30%</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240"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1"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变压器</w:t>
            </w:r>
          </w:p>
        </w:tc>
        <w:tc>
          <w:tcPr>
            <w:tcW w:w="132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能效等级</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2级能效以上</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24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《电力变压器能效限定值及能效等级》（GB20052-2020）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9"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4" w:type="pct"/>
            <w:vMerge w:val="restar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给水系统</w:t>
            </w:r>
          </w:p>
        </w:tc>
        <w:tc>
          <w:tcPr>
            <w:tcW w:w="521" w:type="pct"/>
            <w:vMerge w:val="restar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用水计量</w:t>
            </w:r>
          </w:p>
        </w:tc>
        <w:tc>
          <w:tcPr>
            <w:tcW w:w="132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水表的精确</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不低于士2.5%</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240" w:type="pct"/>
            <w:vMerge w:val="restar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《节水型企业评价导则》</w:t>
            </w:r>
          </w:p>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（GB/T 7119-2018）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1"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32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车间用水计量率</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达到100%</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240"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1"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32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设备用水计量率</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不低于90%</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240"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1"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设备</w:t>
            </w:r>
          </w:p>
        </w:tc>
        <w:tc>
          <w:tcPr>
            <w:tcW w:w="132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清水离心泵</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节能评价值以上</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24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《清水离心泵能效限定值及节能评价值》（GB19762-2007）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4" w:type="pct"/>
            <w:vMerge w:val="restar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压缩空气系统</w:t>
            </w:r>
          </w:p>
        </w:tc>
        <w:tc>
          <w:tcPr>
            <w:tcW w:w="521" w:type="pct"/>
            <w:vMerge w:val="restar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螺杆空压机</w:t>
            </w: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规定工况下的实际容积流量</w:t>
            </w:r>
          </w:p>
        </w:tc>
        <w:tc>
          <w:tcPr>
            <w:tcW w:w="67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不低于公称容积流量的95%。</w:t>
            </w:r>
          </w:p>
        </w:tc>
        <w:tc>
          <w:tcPr>
            <w:tcW w:w="27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240" w:type="pct"/>
            <w:vMerge w:val="restar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《一般用喷油螺杆空气压缩机》</w:t>
            </w:r>
          </w:p>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（JB/T 6430-2014）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1"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每立方米空气所消耗的润滑油量</w:t>
            </w:r>
          </w:p>
        </w:tc>
        <w:tc>
          <w:tcPr>
            <w:tcW w:w="67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应不大于35mg</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240"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5"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1"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能效指标</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2级能效以上</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24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《容积式空气压缩机能效限定值及能效等级》（GB19153-2019）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4" w:type="pct"/>
            <w:vMerge w:val="restar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污水处理系统</w:t>
            </w:r>
          </w:p>
        </w:tc>
        <w:tc>
          <w:tcPr>
            <w:tcW w:w="1847" w:type="pct"/>
            <w:gridSpan w:val="2"/>
            <w:vMerge w:val="restar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园区污水电耗</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50~100万t/d（含100万t/d）≤0.229kWh/m</w:t>
            </w:r>
            <w:r>
              <w:rPr>
                <w:rFonts w:hint="default" w:ascii="Times New Roman" w:hAnsi="Times New Roman" w:eastAsia="宋体" w:cs="Times New Roman"/>
                <w:color w:val="auto"/>
                <w:kern w:val="0"/>
                <w:sz w:val="21"/>
                <w:szCs w:val="21"/>
                <w:highlight w:val="none"/>
                <w:vertAlign w:val="superscript"/>
              </w:rPr>
              <w:t>3</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240" w:type="pct"/>
            <w:vMerge w:val="restar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《城镇污水处理能源消耗限额》（DB11/T 1118-2014）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847" w:type="pct"/>
            <w:gridSpan w:val="2"/>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20~50万t/d（含50万t/d）≤0.288kWh/m</w:t>
            </w:r>
            <w:r>
              <w:rPr>
                <w:rFonts w:hint="default" w:ascii="Times New Roman" w:hAnsi="Times New Roman" w:eastAsia="宋体" w:cs="Times New Roman"/>
                <w:color w:val="auto"/>
                <w:kern w:val="0"/>
                <w:sz w:val="21"/>
                <w:szCs w:val="21"/>
                <w:highlight w:val="none"/>
                <w:vertAlign w:val="superscript"/>
              </w:rPr>
              <w:t>3</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240"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847" w:type="pct"/>
            <w:gridSpan w:val="2"/>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10~20万t/d（含20万t/d）≤0.339kWh/m</w:t>
            </w:r>
            <w:r>
              <w:rPr>
                <w:rFonts w:hint="default" w:ascii="Times New Roman" w:hAnsi="Times New Roman" w:eastAsia="宋体" w:cs="Times New Roman"/>
                <w:color w:val="auto"/>
                <w:kern w:val="0"/>
                <w:sz w:val="21"/>
                <w:szCs w:val="21"/>
                <w:highlight w:val="none"/>
                <w:vertAlign w:val="superscript"/>
              </w:rPr>
              <w:t>3</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240"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847" w:type="pct"/>
            <w:gridSpan w:val="2"/>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5~10万t/d（含10万t/d）≤0.342kWh/m</w:t>
            </w:r>
            <w:r>
              <w:rPr>
                <w:rFonts w:hint="default" w:ascii="Times New Roman" w:hAnsi="Times New Roman" w:eastAsia="宋体" w:cs="Times New Roman"/>
                <w:color w:val="auto"/>
                <w:kern w:val="0"/>
                <w:sz w:val="21"/>
                <w:szCs w:val="21"/>
                <w:highlight w:val="none"/>
                <w:vertAlign w:val="superscript"/>
              </w:rPr>
              <w:t>3</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240"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847" w:type="pct"/>
            <w:gridSpan w:val="2"/>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1~5万t/d（含5万t/d）≤0.367kWh/m</w:t>
            </w:r>
            <w:r>
              <w:rPr>
                <w:rFonts w:hint="default" w:ascii="Times New Roman" w:hAnsi="Times New Roman" w:eastAsia="宋体" w:cs="Times New Roman"/>
                <w:color w:val="auto"/>
                <w:kern w:val="0"/>
                <w:sz w:val="21"/>
                <w:szCs w:val="21"/>
                <w:highlight w:val="none"/>
                <w:vertAlign w:val="superscript"/>
              </w:rPr>
              <w:t>3</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240"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847" w:type="pct"/>
            <w:gridSpan w:val="2"/>
            <w:vMerge w:val="restar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园区污水能耗</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50~100万t/d（含100万t/d）≤0.0310tce/m</w:t>
            </w:r>
            <w:r>
              <w:rPr>
                <w:rFonts w:hint="default" w:ascii="Times New Roman" w:hAnsi="Times New Roman" w:eastAsia="宋体" w:cs="Times New Roman"/>
                <w:color w:val="auto"/>
                <w:kern w:val="0"/>
                <w:sz w:val="21"/>
                <w:szCs w:val="21"/>
                <w:highlight w:val="none"/>
                <w:vertAlign w:val="superscript"/>
              </w:rPr>
              <w:t>3</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240" w:type="pct"/>
            <w:vMerge w:val="restar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《城镇污水处理能源消耗限额》（DB11/T 1118-2014）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847" w:type="pct"/>
            <w:gridSpan w:val="2"/>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20~50万t/d（含50万t/d）≤0.0356tce/m</w:t>
            </w:r>
            <w:r>
              <w:rPr>
                <w:rFonts w:hint="default" w:ascii="Times New Roman" w:hAnsi="Times New Roman" w:eastAsia="宋体" w:cs="Times New Roman"/>
                <w:color w:val="auto"/>
                <w:kern w:val="0"/>
                <w:sz w:val="21"/>
                <w:szCs w:val="21"/>
                <w:highlight w:val="none"/>
                <w:vertAlign w:val="superscript"/>
              </w:rPr>
              <w:t>3</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240"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847" w:type="pct"/>
            <w:gridSpan w:val="2"/>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10~20万t/d（含20万t/d）≤0.0413tce/m</w:t>
            </w:r>
            <w:r>
              <w:rPr>
                <w:rFonts w:hint="default" w:ascii="Times New Roman" w:hAnsi="Times New Roman" w:eastAsia="宋体" w:cs="Times New Roman"/>
                <w:color w:val="auto"/>
                <w:kern w:val="0"/>
                <w:sz w:val="21"/>
                <w:szCs w:val="21"/>
                <w:highlight w:val="none"/>
                <w:vertAlign w:val="superscript"/>
              </w:rPr>
              <w:t>3</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240"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847" w:type="pct"/>
            <w:gridSpan w:val="2"/>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5~10万t/d（含10万t/d）≤0.0477tce/m</w:t>
            </w:r>
            <w:r>
              <w:rPr>
                <w:rFonts w:hint="default" w:ascii="Times New Roman" w:hAnsi="Times New Roman" w:eastAsia="宋体" w:cs="Times New Roman"/>
                <w:color w:val="auto"/>
                <w:kern w:val="0"/>
                <w:sz w:val="21"/>
                <w:szCs w:val="21"/>
                <w:highlight w:val="none"/>
                <w:vertAlign w:val="superscript"/>
              </w:rPr>
              <w:t>3</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240"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847" w:type="pct"/>
            <w:gridSpan w:val="2"/>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1~5万t/d（含5万t/d）≤0.0514tce/m</w:t>
            </w:r>
            <w:r>
              <w:rPr>
                <w:rFonts w:hint="default" w:ascii="Times New Roman" w:hAnsi="Times New Roman" w:eastAsia="宋体" w:cs="Times New Roman"/>
                <w:color w:val="auto"/>
                <w:kern w:val="0"/>
                <w:sz w:val="21"/>
                <w:szCs w:val="21"/>
                <w:highlight w:val="none"/>
                <w:vertAlign w:val="superscript"/>
              </w:rPr>
              <w:t>3</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240"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7" w:type="pct"/>
            <w:vMerge w:val="restar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企业附属用能系统</w:t>
            </w:r>
          </w:p>
        </w:tc>
        <w:tc>
          <w:tcPr>
            <w:tcW w:w="524" w:type="pct"/>
            <w:vMerge w:val="restar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建筑方案</w:t>
            </w:r>
          </w:p>
        </w:tc>
        <w:tc>
          <w:tcPr>
            <w:tcW w:w="521" w:type="pct"/>
            <w:vMerge w:val="restar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工业建筑</w:t>
            </w:r>
          </w:p>
        </w:tc>
        <w:tc>
          <w:tcPr>
            <w:tcW w:w="132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屋面</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不作要求</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240" w:type="pct"/>
            <w:vMerge w:val="restar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《工业建节能设计统一标准》（GB 51245-2017）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1"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32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外墙</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不作要求</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240"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1" w:type="pct"/>
            <w:vMerge w:val="restar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公共建筑、居住建筑</w:t>
            </w:r>
          </w:p>
        </w:tc>
        <w:tc>
          <w:tcPr>
            <w:tcW w:w="132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屋面</w:t>
            </w:r>
          </w:p>
        </w:tc>
        <w:tc>
          <w:tcPr>
            <w:tcW w:w="67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热惰性指标D≤2.5，传热系数不大于0.50W/㎡.K；热惰性指标D＞2.5，屋面传热系数不大于0.8 0W/㎡.K；</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240" w:type="pct"/>
            <w:vMerge w:val="restar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《公共建筑节能设计标准》（GB 50189-2015）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1"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32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外墙</w:t>
            </w:r>
          </w:p>
        </w:tc>
        <w:tc>
          <w:tcPr>
            <w:tcW w:w="67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热惰性指标D≤2.5，传热系数不大于0.80W/㎡.K；热惰性指标D＞2.5，传热系数不大于1.5W/㎡.K；</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240"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1"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建筑能效水平</w:t>
            </w:r>
          </w:p>
        </w:tc>
        <w:tc>
          <w:tcPr>
            <w:tcW w:w="132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公共建筑</w:t>
            </w:r>
          </w:p>
        </w:tc>
        <w:tc>
          <w:tcPr>
            <w:tcW w:w="67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根据各类建筑划分满足标准要求</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24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《公共机构能耗定额》（DB52-2021）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4" w:type="pct"/>
            <w:vMerge w:val="restar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空调系统</w:t>
            </w:r>
          </w:p>
        </w:tc>
        <w:tc>
          <w:tcPr>
            <w:tcW w:w="521" w:type="pct"/>
            <w:vMerge w:val="restar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冷热源</w:t>
            </w:r>
          </w:p>
        </w:tc>
        <w:tc>
          <w:tcPr>
            <w:tcW w:w="132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分体式空调效</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3级及以上能效等级要求</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24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《房间空气调节器能效限定值及能效等级》（GB21455-2019）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1"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32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多联式空调能效</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2级能效等级要求</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24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《多联式空调（热泵）机组能效限定值及能源效率等级》（GB21454-2008）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1"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32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冷水（热泵）机组能效</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2级能效等级要求</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24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《冷水机组能效限定值及能效等级》（GB 19577-2015）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1"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32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燃气锅炉能效</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2级能效等级要求</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24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《工业锅炉能效限定值及能效等级》（GB24500-2021）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1" w:type="pct"/>
            <w:vMerge w:val="restar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输配系统</w:t>
            </w:r>
          </w:p>
        </w:tc>
        <w:tc>
          <w:tcPr>
            <w:tcW w:w="132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供暖系统的循环水泵</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EHR-h= 0.003096Σ(G×H/η b )/Q ≤A(B +αΣL)/ΔT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240" w:type="pct"/>
            <w:vMerge w:val="restar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《公共建筑节能设计标准》（GB 50189-2015）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1"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32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空调冷（热）水系统循环水泵</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EC(H)R-a = 0.003096 Σ(G×H/η b )/ Q ≤A(B +α∑L)/ΔT</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240"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1" w:type="pct"/>
            <w:vMerge w:val="restar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空调末端系统</w:t>
            </w:r>
          </w:p>
        </w:tc>
        <w:tc>
          <w:tcPr>
            <w:tcW w:w="132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新风系统单位风量耗功率限值</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≤0.24W/(m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/h)</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240"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1"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32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办公建筑定风量系统单位风量耗功率限值</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≤0.27W/(m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/h)</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240"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4"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521"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32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办公建筑变风量系统单位风量耗功率限值</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≤0.29W/(m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/h)</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240"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045" w:type="pct"/>
            <w:gridSpan w:val="2"/>
            <w:vMerge w:val="restar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通风系统</w:t>
            </w:r>
          </w:p>
        </w:tc>
        <w:tc>
          <w:tcPr>
            <w:tcW w:w="132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通风机能效</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2级能效等级要求</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24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《通风机能效限定值及能效等级》（GB19761-2020）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045" w:type="pct"/>
            <w:gridSpan w:val="2"/>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32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机械通风单位风量耗功率限值</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≤0.27W/(m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/h)</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24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《公共建筑节能设计标准》（GB 50189-2015）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045" w:type="pct"/>
            <w:gridSpan w:val="2"/>
            <w:vMerge w:val="restar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照明系统</w:t>
            </w:r>
          </w:p>
        </w:tc>
        <w:tc>
          <w:tcPr>
            <w:tcW w:w="132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LED能效</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2级能效标准要求</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24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《道路和隧道照明用LED灯具能效限定值及能效等级》（GB 37478-2019）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045" w:type="pct"/>
            <w:gridSpan w:val="2"/>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32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普通照明用双端荧光灯能效</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2级能效标准要求</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24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《普通照明用双端荧光灯能效限定值及能效等级》（GB19043-2013）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045" w:type="pct"/>
            <w:gridSpan w:val="2"/>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32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金属卤化物灯能效</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2级能效标准要求</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24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《金属卤化物灯能效限定值及能效等级》（GB20054-2015）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045" w:type="pct"/>
            <w:gridSpan w:val="2"/>
            <w:vMerge w:val="restar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电梯系统</w:t>
            </w:r>
          </w:p>
        </w:tc>
        <w:tc>
          <w:tcPr>
            <w:tcW w:w="132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标准待机能效</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＜0.3kWh</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240" w:type="pct"/>
            <w:vMerge w:val="restar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参照《电梯能效等级》（DB44/T 890-2011）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045" w:type="pct"/>
            <w:gridSpan w:val="2"/>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32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标准载荷能效</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＜3.8kWh</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240"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045" w:type="pct"/>
            <w:gridSpan w:val="2"/>
            <w:vMerge w:val="restar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热水系统</w:t>
            </w:r>
          </w:p>
        </w:tc>
        <w:tc>
          <w:tcPr>
            <w:tcW w:w="132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家用容积式电热水器能效</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2级能效等级要求</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24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《储水式电热水器能效限定值及能效等级标准》（GB21519-2008）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045" w:type="pct"/>
            <w:gridSpan w:val="2"/>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32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空气源热泵机组能效</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2级能效等级要求</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24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《热泵热水机（器）能效限定值及能效等级》（GB29541-2013）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jc w:val="center"/>
        </w:trPr>
        <w:tc>
          <w:tcPr>
            <w:tcW w:w="187"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045" w:type="pct"/>
            <w:gridSpan w:val="2"/>
            <w:vMerge w:val="continue"/>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32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燃气热水锅炉</w:t>
            </w:r>
          </w:p>
        </w:tc>
        <w:tc>
          <w:tcPr>
            <w:tcW w:w="670"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2级能效等级要求</w:t>
            </w:r>
          </w:p>
        </w:tc>
        <w:tc>
          <w:tcPr>
            <w:tcW w:w="276"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253"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24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《工业锅炉能效限定值及能效等级》（GB24500-2021）</w:t>
            </w:r>
          </w:p>
        </w:tc>
      </w:tr>
    </w:tbl>
    <w:p>
      <w:pPr>
        <w:jc w:val="center"/>
        <w:rPr>
          <w:rFonts w:hint="eastAsia"/>
          <w:color w:val="auto"/>
          <w:lang w:val="en-US" w:eastAsia="zh-CN"/>
        </w:rPr>
      </w:pPr>
    </w:p>
    <w:p>
      <w:pPr>
        <w:rPr>
          <w:rFonts w:hint="eastAsia"/>
          <w:color w:val="auto"/>
          <w:lang w:val="en-US" w:eastAsia="zh-CN"/>
        </w:rPr>
      </w:pPr>
    </w:p>
    <w:p>
      <w:pPr>
        <w:rPr>
          <w:rFonts w:hint="eastAsia"/>
          <w:color w:val="auto"/>
          <w:lang w:val="en-US" w:eastAsia="zh-CN"/>
        </w:rPr>
        <w:sectPr>
          <w:pgSz w:w="16838" w:h="11906" w:orient="landscape"/>
          <w:pgMar w:top="1800" w:right="1440" w:bottom="1800" w:left="1440" w:header="851" w:footer="992" w:gutter="0"/>
          <w:pgNumType w:fmt="decimal"/>
          <w:cols w:space="425" w:num="1"/>
          <w:docGrid w:type="lines" w:linePitch="312" w:charSpace="0"/>
        </w:sectPr>
      </w:pPr>
    </w:p>
    <w:p>
      <w:pPr>
        <w:pStyle w:val="3"/>
        <w:bidi w:val="0"/>
        <w:rPr>
          <w:rFonts w:hint="eastAsia"/>
          <w:color w:val="auto"/>
          <w:lang w:val="en-US" w:eastAsia="zh-CN"/>
        </w:rPr>
      </w:pPr>
      <w:bookmarkStart w:id="45" w:name="_Toc10928"/>
      <w:r>
        <w:rPr>
          <w:rFonts w:hint="eastAsia"/>
          <w:color w:val="auto"/>
          <w:lang w:val="en-US" w:eastAsia="zh-CN"/>
        </w:rPr>
        <w:t>4.4 区域通用用能设备能效水平</w:t>
      </w:r>
      <w:bookmarkEnd w:id="45"/>
    </w:p>
    <w:p>
      <w:pPr>
        <w:bidi w:val="0"/>
        <w:rPr>
          <w:rFonts w:hint="eastAsia"/>
          <w:color w:val="auto"/>
          <w:lang w:val="en-US" w:eastAsia="zh-CN"/>
        </w:rPr>
      </w:pPr>
      <w:r>
        <w:rPr>
          <w:rFonts w:hint="eastAsia"/>
          <w:color w:val="auto"/>
          <w:lang w:val="en-US" w:eastAsia="zh-CN"/>
        </w:rPr>
        <w:t>1、变压器能效水平</w:t>
      </w:r>
    </w:p>
    <w:p>
      <w:pPr>
        <w:bidi w:val="0"/>
        <w:rPr>
          <w:rFonts w:hint="eastAsia"/>
          <w:color w:val="auto"/>
          <w:lang w:val="en-US" w:eastAsia="zh-CN"/>
        </w:rPr>
      </w:pPr>
      <w:r>
        <w:rPr>
          <w:rFonts w:hint="eastAsia"/>
          <w:color w:val="auto"/>
          <w:lang w:val="en-US" w:eastAsia="zh-CN"/>
        </w:rPr>
        <w:t>对于开发区各入驻企业，配套公建等所选用的干式、油浸式配电变压器，变压器能效应达到《电力变压器能效限定值及能效等级》（GB 20052-2020）中2级能效等级规定。</w:t>
      </w:r>
    </w:p>
    <w:p>
      <w:pPr>
        <w:bidi w:val="0"/>
        <w:rPr>
          <w:rFonts w:hint="eastAsia"/>
          <w:color w:val="auto"/>
          <w:lang w:val="en-US" w:eastAsia="zh-CN"/>
        </w:rPr>
      </w:pPr>
      <w:r>
        <w:rPr>
          <w:rFonts w:hint="eastAsia"/>
          <w:color w:val="auto"/>
          <w:lang w:val="en-US" w:eastAsia="zh-CN"/>
        </w:rPr>
        <w:t>2、暖通空调设备能效水平</w:t>
      </w:r>
    </w:p>
    <w:p>
      <w:pPr>
        <w:bidi w:val="0"/>
        <w:rPr>
          <w:rFonts w:hint="eastAsia"/>
          <w:color w:val="auto"/>
          <w:lang w:val="en-US" w:eastAsia="zh-CN"/>
        </w:rPr>
      </w:pPr>
      <w:r>
        <w:rPr>
          <w:rFonts w:hint="eastAsia"/>
          <w:color w:val="auto"/>
          <w:lang w:val="en-US" w:eastAsia="zh-CN"/>
        </w:rPr>
        <w:t>（1）空调设备能效水平</w:t>
      </w:r>
    </w:p>
    <w:p>
      <w:pPr>
        <w:bidi w:val="0"/>
        <w:rPr>
          <w:rFonts w:hint="eastAsia"/>
          <w:color w:val="auto"/>
          <w:lang w:val="en-US" w:eastAsia="zh-CN"/>
        </w:rPr>
      </w:pPr>
      <w:r>
        <w:rPr>
          <w:rFonts w:hint="eastAsia"/>
          <w:color w:val="auto"/>
          <w:lang w:val="en-US" w:eastAsia="zh-CN"/>
        </w:rPr>
        <w:t>①对于开发区各入驻企业车间办公室、值班室等场所，所选分体空调设备能效能效应达到《房间空气调节器能效限定值及能效等级》（GB21455-2019）中2级能效等级规定。</w:t>
      </w:r>
    </w:p>
    <w:p>
      <w:pPr>
        <w:bidi w:val="0"/>
        <w:rPr>
          <w:rFonts w:hint="eastAsia"/>
          <w:color w:val="auto"/>
          <w:lang w:val="en-US" w:eastAsia="zh-CN"/>
        </w:rPr>
      </w:pPr>
      <w:r>
        <w:rPr>
          <w:rFonts w:hint="eastAsia"/>
          <w:color w:val="auto"/>
          <w:lang w:val="en-US" w:eastAsia="zh-CN"/>
        </w:rPr>
        <w:t>②对于开发区采用风冷热泵作为冷热源的洁净中央空调系统的厂房，选用的风冷热泵空调机组在名义制冷工况和规定条件下的性能系数（COP）应符合《冷水机组能效限定值及能效等级》（GB 19577-2015）中制冷性能参数规定要求；能效应达到《冷水机组能效限定值及能效等级》（GB 19577-2015）中2级能效等级规定。</w:t>
      </w:r>
    </w:p>
    <w:p>
      <w:pPr>
        <w:bidi w:val="0"/>
        <w:rPr>
          <w:rFonts w:hint="eastAsia"/>
          <w:color w:val="auto"/>
          <w:lang w:val="en-US" w:eastAsia="zh-CN"/>
        </w:rPr>
      </w:pPr>
      <w:r>
        <w:rPr>
          <w:rFonts w:hint="eastAsia"/>
          <w:color w:val="auto"/>
          <w:lang w:val="en-US" w:eastAsia="zh-CN"/>
        </w:rPr>
        <w:t>（2）通风系统设备能效水平</w:t>
      </w:r>
    </w:p>
    <w:p>
      <w:pPr>
        <w:bidi w:val="0"/>
        <w:rPr>
          <w:rFonts w:hint="eastAsia"/>
          <w:color w:val="auto"/>
          <w:lang w:val="en-US" w:eastAsia="zh-CN"/>
        </w:rPr>
      </w:pPr>
      <w:r>
        <w:rPr>
          <w:rFonts w:hint="eastAsia"/>
          <w:color w:val="auto"/>
          <w:lang w:val="en-US" w:eastAsia="zh-CN"/>
        </w:rPr>
        <w:t>对于开发区各入驻企业厂房设置机械通风系统的场所，所选用通风机的设备能效应达到《通风机能效限定值及能效等级》（GB19761-2020）中2级能效等级规定。</w:t>
      </w:r>
    </w:p>
    <w:p>
      <w:pPr>
        <w:bidi w:val="0"/>
        <w:rPr>
          <w:rFonts w:hint="eastAsia"/>
          <w:color w:val="auto"/>
          <w:lang w:val="en-US" w:eastAsia="zh-CN"/>
        </w:rPr>
      </w:pPr>
      <w:r>
        <w:rPr>
          <w:rFonts w:hint="eastAsia"/>
          <w:color w:val="auto"/>
          <w:lang w:val="en-US" w:eastAsia="zh-CN"/>
        </w:rPr>
        <w:t>3、卫生热水设备能效水平</w:t>
      </w:r>
    </w:p>
    <w:p>
      <w:pPr>
        <w:bidi w:val="0"/>
        <w:rPr>
          <w:rFonts w:hint="eastAsia"/>
          <w:color w:val="auto"/>
          <w:lang w:val="en-US" w:eastAsia="zh-CN"/>
        </w:rPr>
      </w:pPr>
      <w:r>
        <w:rPr>
          <w:rFonts w:hint="eastAsia"/>
          <w:color w:val="auto"/>
          <w:lang w:val="en-US" w:eastAsia="zh-CN"/>
        </w:rPr>
        <w:t>对于开发区各入驻企业选用空气源热泵作为热水系统设备的，所选用的制热量大于10kW的热泵热水机在名义制冷工况和规定条件下性能系数（COP）不宜低于《热泵热水机（器）能效限定值及能效等级》（GB 29541-2013）中规定限值要求；设备能效应达到《热泵热水机（器）能效限定值及能效等级》（GB 29541-2013）中2级能效等级规定。</w:t>
      </w:r>
    </w:p>
    <w:p>
      <w:pPr>
        <w:bidi w:val="0"/>
        <w:rPr>
          <w:rFonts w:hint="eastAsia"/>
          <w:color w:val="auto"/>
          <w:lang w:val="en-US" w:eastAsia="zh-CN"/>
        </w:rPr>
      </w:pPr>
      <w:r>
        <w:rPr>
          <w:rFonts w:hint="eastAsia"/>
          <w:color w:val="auto"/>
          <w:lang w:val="en-US" w:eastAsia="zh-CN"/>
        </w:rPr>
        <w:t>4、泵类能效水平</w:t>
      </w:r>
    </w:p>
    <w:p>
      <w:pPr>
        <w:bidi w:val="0"/>
        <w:rPr>
          <w:rFonts w:hint="eastAsia"/>
          <w:color w:val="auto"/>
          <w:lang w:val="en-US" w:eastAsia="zh-CN"/>
        </w:rPr>
      </w:pPr>
      <w:r>
        <w:rPr>
          <w:rFonts w:hint="eastAsia"/>
          <w:color w:val="auto"/>
          <w:lang w:val="en-US" w:eastAsia="zh-CN"/>
        </w:rPr>
        <w:t>对于开发区空调水系统输配水泵、给排水系统给水泵、卫生热水系统循环水泵等各类水泵，所选用水泵的能效应达到《清水离心泵能效限定值及节能评价值》（GB19762-2007）中“节能评价值”等效等级规定。</w:t>
      </w:r>
    </w:p>
    <w:p>
      <w:pPr>
        <w:bidi w:val="0"/>
        <w:rPr>
          <w:rFonts w:hint="eastAsia"/>
          <w:color w:val="auto"/>
          <w:lang w:val="en-US" w:eastAsia="zh-CN"/>
        </w:rPr>
      </w:pPr>
      <w:r>
        <w:rPr>
          <w:rFonts w:hint="eastAsia"/>
          <w:color w:val="auto"/>
          <w:lang w:val="en-US" w:eastAsia="zh-CN"/>
        </w:rPr>
        <w:t>5、工业锅炉能效水平</w:t>
      </w:r>
    </w:p>
    <w:p>
      <w:pPr>
        <w:bidi w:val="0"/>
        <w:rPr>
          <w:rFonts w:hint="eastAsia"/>
          <w:color w:val="auto"/>
          <w:lang w:val="en-US" w:eastAsia="zh-CN"/>
        </w:rPr>
      </w:pPr>
      <w:r>
        <w:rPr>
          <w:rFonts w:hint="eastAsia"/>
          <w:color w:val="auto"/>
          <w:lang w:val="en-US" w:eastAsia="zh-CN"/>
        </w:rPr>
        <w:t>推荐锅炉产品须达到《工业锅炉能效限定值及能效等级》（GB24500-2021）2级能效等级要求，即达到94%以上。</w:t>
      </w:r>
    </w:p>
    <w:p>
      <w:pPr>
        <w:bidi w:val="0"/>
        <w:rPr>
          <w:rFonts w:hint="eastAsia"/>
          <w:color w:val="auto"/>
          <w:lang w:val="en-US" w:eastAsia="zh-CN"/>
        </w:rPr>
      </w:pPr>
      <w:r>
        <w:rPr>
          <w:rFonts w:hint="eastAsia"/>
          <w:color w:val="auto"/>
          <w:lang w:val="en-US" w:eastAsia="zh-CN"/>
        </w:rPr>
        <w:t>6、空压机能效水平</w:t>
      </w:r>
    </w:p>
    <w:p>
      <w:pPr>
        <w:bidi w:val="0"/>
        <w:rPr>
          <w:rFonts w:hint="eastAsia"/>
          <w:color w:val="auto"/>
          <w:lang w:val="en-US" w:eastAsia="zh-CN"/>
        </w:rPr>
      </w:pPr>
      <w:r>
        <w:rPr>
          <w:rFonts w:hint="eastAsia"/>
          <w:color w:val="auto"/>
          <w:lang w:val="en-US" w:eastAsia="zh-CN"/>
        </w:rPr>
        <w:t>推荐空压机产品须达到《容积式空气压缩机能效限定值及能效等级》（GB 19153-2019）2级能效等级要求。</w:t>
      </w:r>
    </w:p>
    <w:p>
      <w:pPr>
        <w:bidi w:val="0"/>
        <w:rPr>
          <w:rFonts w:hint="eastAsia"/>
          <w:color w:val="auto"/>
          <w:lang w:val="en-US" w:eastAsia="zh-CN"/>
        </w:rPr>
      </w:pPr>
      <w:r>
        <w:rPr>
          <w:rFonts w:hint="eastAsia"/>
          <w:color w:val="auto"/>
          <w:lang w:val="en-US" w:eastAsia="zh-CN"/>
        </w:rPr>
        <w:t>7、设备电机能效水平</w:t>
      </w:r>
    </w:p>
    <w:p>
      <w:pPr>
        <w:bidi w:val="0"/>
        <w:rPr>
          <w:rFonts w:hint="eastAsia"/>
          <w:color w:val="auto"/>
          <w:lang w:val="en-US" w:eastAsia="zh-CN"/>
        </w:rPr>
      </w:pPr>
      <w:r>
        <w:rPr>
          <w:rFonts w:hint="eastAsia"/>
          <w:color w:val="auto"/>
          <w:lang w:val="en-US" w:eastAsia="zh-CN"/>
        </w:rPr>
        <w:t>推荐选用高效节能型电动机，各设备电动机能效均达到《电动机能效限定值及能效等级》（GB18613-2020）二级能效指标以上的要求，建议选用《节能机电设备（产品）推荐目录（第一至七批）》推荐产品。</w:t>
      </w:r>
    </w:p>
    <w:p>
      <w:pPr>
        <w:bidi w:val="0"/>
        <w:rPr>
          <w:rFonts w:hint="eastAsia"/>
          <w:color w:val="auto"/>
          <w:lang w:val="en-US" w:eastAsia="zh-CN"/>
        </w:rPr>
      </w:pPr>
    </w:p>
    <w:p>
      <w:pPr>
        <w:rPr>
          <w:rFonts w:hint="eastAsia"/>
          <w:color w:val="auto"/>
          <w:lang w:val="en-US" w:eastAsia="zh-CN"/>
        </w:rPr>
      </w:pPr>
      <w:r>
        <w:rPr>
          <w:rFonts w:hint="eastAsia"/>
          <w:color w:val="auto"/>
          <w:lang w:val="en-US" w:eastAsia="zh-CN"/>
        </w:rPr>
        <w:br w:type="page"/>
      </w:r>
    </w:p>
    <w:p>
      <w:pPr>
        <w:pStyle w:val="2"/>
        <w:bidi w:val="0"/>
        <w:rPr>
          <w:rFonts w:hint="eastAsia"/>
          <w:color w:val="auto"/>
          <w:lang w:val="en-US" w:eastAsia="zh-CN"/>
        </w:rPr>
      </w:pPr>
      <w:bookmarkStart w:id="46" w:name="_Toc11964"/>
      <w:r>
        <w:rPr>
          <w:rFonts w:hint="eastAsia"/>
          <w:color w:val="auto"/>
          <w:lang w:val="en-US" w:eastAsia="zh-CN"/>
        </w:rPr>
        <w:t>第五章 区域产业负面清单</w:t>
      </w:r>
      <w:bookmarkEnd w:id="46"/>
    </w:p>
    <w:p>
      <w:pPr>
        <w:pStyle w:val="3"/>
        <w:bidi w:val="0"/>
        <w:rPr>
          <w:rFonts w:hint="eastAsia"/>
          <w:color w:val="auto"/>
          <w:lang w:val="en-US" w:eastAsia="zh-CN"/>
        </w:rPr>
      </w:pPr>
      <w:bookmarkStart w:id="47" w:name="_Toc20553"/>
      <w:r>
        <w:rPr>
          <w:rFonts w:hint="eastAsia"/>
          <w:color w:val="auto"/>
          <w:lang w:val="en-US" w:eastAsia="zh-CN"/>
        </w:rPr>
        <w:t>5.1 区域产业发展要点</w:t>
      </w:r>
      <w:bookmarkEnd w:id="47"/>
    </w:p>
    <w:p>
      <w:pPr>
        <w:rPr>
          <w:rFonts w:hint="eastAsia"/>
          <w:color w:val="auto"/>
          <w:lang w:val="en-US" w:eastAsia="zh-CN"/>
        </w:rPr>
      </w:pPr>
      <w:r>
        <w:rPr>
          <w:rFonts w:hint="eastAsia"/>
          <w:color w:val="auto"/>
          <w:lang w:val="en-US" w:eastAsia="zh-CN"/>
        </w:rPr>
        <w:t>开发区主要发展方向为磷系新材料、氯碱化工、氟材料、钛材料、储能产业、铝基新材料、新型建材、特色农产品八大板块，本次评估从这八个行业能效状况进行分析，为了实现“双控”目标约束下的发展，应注意以下几个要点：</w:t>
      </w:r>
    </w:p>
    <w:p>
      <w:pPr>
        <w:rPr>
          <w:rFonts w:hint="eastAsia"/>
          <w:color w:val="auto"/>
          <w:lang w:val="en-US" w:eastAsia="zh-CN"/>
        </w:rPr>
      </w:pPr>
      <w:r>
        <w:rPr>
          <w:rFonts w:hint="eastAsia"/>
          <w:color w:val="auto"/>
          <w:lang w:val="en-US" w:eastAsia="zh-CN"/>
        </w:rPr>
        <w:t>1、产业结构的合理规划</w:t>
      </w:r>
    </w:p>
    <w:p>
      <w:pPr>
        <w:rPr>
          <w:rFonts w:hint="eastAsia"/>
          <w:color w:val="auto"/>
          <w:lang w:val="en-US" w:eastAsia="zh-CN"/>
        </w:rPr>
      </w:pPr>
      <w:r>
        <w:rPr>
          <w:rFonts w:hint="eastAsia"/>
          <w:color w:val="auto"/>
          <w:lang w:val="en-US" w:eastAsia="zh-CN"/>
        </w:rPr>
        <w:t>就区域主导产业制造业而言，随着产业链的延长和产品附加值的提高，能源投入会逐渐降低，经济效益逐步提高，能源投入与经济产出比逐步上升。因此合理规划产业结构，是同时实现区域能耗总量控制与区域经济社会发展目标的主要途径之一。</w:t>
      </w:r>
    </w:p>
    <w:p>
      <w:pPr>
        <w:rPr>
          <w:rFonts w:hint="eastAsia"/>
          <w:color w:val="auto"/>
          <w:lang w:val="en-US" w:eastAsia="zh-CN"/>
        </w:rPr>
      </w:pPr>
      <w:r>
        <w:rPr>
          <w:rFonts w:hint="eastAsia"/>
          <w:color w:val="auto"/>
          <w:lang w:val="en-US" w:eastAsia="zh-CN"/>
        </w:rPr>
        <w:t>2、严格控制入驻企业的能效水平</w:t>
      </w:r>
    </w:p>
    <w:p>
      <w:pPr>
        <w:rPr>
          <w:rFonts w:hint="eastAsia"/>
          <w:color w:val="auto"/>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color w:val="auto"/>
          <w:lang w:val="en-US" w:eastAsia="zh-CN"/>
        </w:rPr>
        <w:t>区域能效水平受入驻企业的影响主要有两个方面，一是入驻企业的能耗大小，二是入驻企业的能效水平。能耗大小是权重，能效高低是影响的主要因素，如果能耗低，能效高的项目入驻越多，将更有利于区域“双控”目标的完成；反之，如果能耗高、能效低的项目入驻越多，区域将很难完成“双控”目标。因此区域在企业入驻过程中，应明确能效水平，从而保障“双控”目标的完成。依据以上提出的原则及区域“双控”目标，对区域产业发展将提出如下要求：</w:t>
      </w:r>
    </w:p>
    <w:p>
      <w:pPr>
        <w:jc w:val="center"/>
        <w:rPr>
          <w:rFonts w:hint="eastAsia"/>
          <w:color w:val="auto"/>
          <w:lang w:val="en-US" w:eastAsia="zh-CN"/>
        </w:rPr>
      </w:pPr>
      <w:r>
        <w:rPr>
          <w:rFonts w:hint="eastAsia"/>
          <w:color w:val="auto"/>
          <w:lang w:val="en-US" w:eastAsia="zh-CN"/>
        </w:rPr>
        <w:t>表5-1区域产业发展要点分析表</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15"/>
        <w:gridCol w:w="694"/>
        <w:gridCol w:w="1125"/>
        <w:gridCol w:w="1958"/>
        <w:gridCol w:w="8738"/>
        <w:gridCol w:w="10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序号</w:t>
            </w:r>
          </w:p>
        </w:tc>
        <w:tc>
          <w:tcPr>
            <w:tcW w:w="3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行业</w:t>
            </w:r>
          </w:p>
        </w:tc>
        <w:tc>
          <w:tcPr>
            <w:tcW w:w="8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发展要点分析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是否列入负面清单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3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磷系新材料</w:t>
            </w:r>
          </w:p>
        </w:tc>
        <w:tc>
          <w:tcPr>
            <w:tcW w:w="8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磷系新材料为开发区规划的发展行业，有一定的发展潜力及目标，需按相关要求开展节能审查。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w:t>
            </w:r>
          </w:p>
        </w:tc>
        <w:tc>
          <w:tcPr>
            <w:tcW w:w="3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氯碱化工</w:t>
            </w:r>
          </w:p>
        </w:tc>
        <w:tc>
          <w:tcPr>
            <w:tcW w:w="8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氯碱化工为开发区规划的发展行业，有一定的发展潜力及目标，需按相关要求开展节能审查。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w:t>
            </w:r>
          </w:p>
        </w:tc>
        <w:tc>
          <w:tcPr>
            <w:tcW w:w="3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氟材料</w:t>
            </w:r>
          </w:p>
        </w:tc>
        <w:tc>
          <w:tcPr>
            <w:tcW w:w="8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氟材料为开发区规划的发展行业，有一定的发展潜力及目标，需按相关要求开展节能审查。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4</w:t>
            </w:r>
          </w:p>
        </w:tc>
        <w:tc>
          <w:tcPr>
            <w:tcW w:w="3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钛材料</w:t>
            </w:r>
          </w:p>
        </w:tc>
        <w:tc>
          <w:tcPr>
            <w:tcW w:w="8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钛材料为开发区规划的发展行业，有一定的发展潜力及目标，需按相关要求开展节能审查。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5</w:t>
            </w:r>
          </w:p>
        </w:tc>
        <w:tc>
          <w:tcPr>
            <w:tcW w:w="3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储能产业</w:t>
            </w:r>
          </w:p>
        </w:tc>
        <w:tc>
          <w:tcPr>
            <w:tcW w:w="8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储能产业为开发区规划的发展行业，有一定的发展潜力及目标，需按相关要求开展节能审查。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6</w:t>
            </w:r>
          </w:p>
        </w:tc>
        <w:tc>
          <w:tcPr>
            <w:tcW w:w="3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铝基新材料</w:t>
            </w:r>
          </w:p>
        </w:tc>
        <w:tc>
          <w:tcPr>
            <w:tcW w:w="8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铝基新材料为开发区规划的发展行业，有一定的发展潜力及目标，需按相关要求开展节能审查。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7</w:t>
            </w:r>
          </w:p>
        </w:tc>
        <w:tc>
          <w:tcPr>
            <w:tcW w:w="3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新型建材</w:t>
            </w:r>
          </w:p>
        </w:tc>
        <w:tc>
          <w:tcPr>
            <w:tcW w:w="8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新型建材为开发区规划的发展行业，有一定的发展潜力及目标，需按相关要求开展节能审查。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8</w:t>
            </w:r>
          </w:p>
        </w:tc>
        <w:tc>
          <w:tcPr>
            <w:tcW w:w="3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特色农产品</w:t>
            </w:r>
          </w:p>
        </w:tc>
        <w:tc>
          <w:tcPr>
            <w:tcW w:w="8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特色农产品为开发区规划的主要行业，是区域发展的主要行业，可采用承诺备案制替代项目节能审查。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9</w:t>
            </w:r>
          </w:p>
        </w:tc>
        <w:tc>
          <w:tcPr>
            <w:tcW w:w="3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六大高耗能行业（1、石油加工、炼焦及核燃料加工业；2、化学原料及化学制品制造业；3、非金属矿物制品业；4、黑色金属冶炼及压延加工业；5、有色金属冶炼及压延加工业；6、电力热力的生产和供应业）</w:t>
            </w:r>
          </w:p>
        </w:tc>
        <w:tc>
          <w:tcPr>
            <w:tcW w:w="8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依据区域产业发展规划，园区主导发展产业中磷系新材料、氯碱化工涉及化学原料及化学制品制造业；新型建材涉及非金属矿物制品业等，根据六大高耗能行业的用能特点，结合园区“双控”目标进行分析，一是园区的能耗总量不足以支撑高耗能行业的建设，二是高耗能行业能耗强度过高，影响园区“双控”目标完成，因此建议涉及化学原料及化学制品制造业、非金属矿物制品业的行业单独开展节能审查工作，深入分析项目对区域“双控”目标的影响；其余行业区域禁止发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10</w:t>
            </w:r>
          </w:p>
        </w:tc>
        <w:tc>
          <w:tcPr>
            <w:tcW w:w="3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国家《产业结构调整指导目录》（2019年本）等产业政策规定的限制类、淘汰类项目</w:t>
            </w:r>
          </w:p>
        </w:tc>
        <w:tc>
          <w:tcPr>
            <w:tcW w:w="8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该区域禁止发展限制类、淘汰类项目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11</w:t>
            </w:r>
          </w:p>
        </w:tc>
        <w:tc>
          <w:tcPr>
            <w:tcW w:w="3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新增煤炭消费量的项目</w:t>
            </w:r>
          </w:p>
        </w:tc>
        <w:tc>
          <w:tcPr>
            <w:tcW w:w="8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涉及新增燃煤消耗的项目需要单独开展节能审查工作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12</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其他行业</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综合能耗大于3000tce的生产性行业</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工业增加值能耗低于</w:t>
            </w:r>
            <w:r>
              <w:rPr>
                <w:rFonts w:hint="eastAsia" w:ascii="仿宋" w:hAnsi="仿宋" w:cs="仿宋"/>
                <w:i w:val="0"/>
                <w:iCs w:val="0"/>
                <w:color w:val="auto"/>
                <w:kern w:val="0"/>
                <w:sz w:val="21"/>
                <w:szCs w:val="21"/>
                <w:u w:val="none"/>
                <w:lang w:val="en-US" w:eastAsia="zh-CN" w:bidi="ar"/>
              </w:rPr>
              <w:t>1.5358</w:t>
            </w:r>
            <w:r>
              <w:rPr>
                <w:rFonts w:hint="eastAsia" w:ascii="仿宋" w:hAnsi="仿宋" w:eastAsia="仿宋" w:cs="仿宋"/>
                <w:i w:val="0"/>
                <w:iCs w:val="0"/>
                <w:color w:val="auto"/>
                <w:kern w:val="0"/>
                <w:sz w:val="21"/>
                <w:szCs w:val="21"/>
                <w:u w:val="none"/>
                <w:lang w:val="en-US" w:eastAsia="zh-CN" w:bidi="ar"/>
              </w:rPr>
              <w:t>tce/万元的生产性行业</w:t>
            </w:r>
          </w:p>
        </w:tc>
        <w:tc>
          <w:tcPr>
            <w:tcW w:w="8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就区域能源消费总量控制数而言，一旦项目能耗大于3000tce，将会直接影响区域的“双控”目标完成，因此该区域应控制发展该部分产业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工业增加值能耗高于</w:t>
            </w:r>
            <w:r>
              <w:rPr>
                <w:rFonts w:hint="eastAsia" w:ascii="仿宋" w:hAnsi="仿宋" w:cs="仿宋"/>
                <w:i w:val="0"/>
                <w:iCs w:val="0"/>
                <w:color w:val="auto"/>
                <w:kern w:val="0"/>
                <w:sz w:val="21"/>
                <w:szCs w:val="21"/>
                <w:u w:val="none"/>
                <w:lang w:val="en-US" w:eastAsia="zh-CN" w:bidi="ar"/>
              </w:rPr>
              <w:t>1.5358</w:t>
            </w:r>
            <w:r>
              <w:rPr>
                <w:rFonts w:hint="eastAsia" w:ascii="仿宋" w:hAnsi="仿宋" w:eastAsia="仿宋" w:cs="仿宋"/>
                <w:i w:val="0"/>
                <w:iCs w:val="0"/>
                <w:color w:val="auto"/>
                <w:kern w:val="0"/>
                <w:sz w:val="21"/>
                <w:szCs w:val="21"/>
                <w:u w:val="none"/>
                <w:lang w:val="en-US" w:eastAsia="zh-CN" w:bidi="ar"/>
              </w:rPr>
              <w:t>tce/万元的生产性行业</w:t>
            </w:r>
          </w:p>
        </w:tc>
        <w:tc>
          <w:tcPr>
            <w:tcW w:w="8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依据区域发展规划及“双控”目标进行分析，该部分行业由于能耗相对较大，占区域总能耗比重较高，有一定可能导致区域的“双控”目标难以完成，因此建议能耗量高于3000tce/a的行业单独开展节能审查工作，深入分析项目对区域“双控”目标的影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综合能耗低于3000tce的生产性行业</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工业增加值能耗低于</w:t>
            </w:r>
            <w:r>
              <w:rPr>
                <w:rFonts w:hint="eastAsia" w:ascii="仿宋" w:hAnsi="仿宋" w:cs="仿宋"/>
                <w:i w:val="0"/>
                <w:iCs w:val="0"/>
                <w:color w:val="auto"/>
                <w:kern w:val="0"/>
                <w:sz w:val="21"/>
                <w:szCs w:val="21"/>
                <w:u w:val="none"/>
                <w:lang w:val="en-US" w:eastAsia="zh-CN" w:bidi="ar"/>
              </w:rPr>
              <w:t>1.5358</w:t>
            </w:r>
            <w:r>
              <w:rPr>
                <w:rFonts w:hint="eastAsia" w:ascii="仿宋" w:hAnsi="仿宋" w:eastAsia="仿宋" w:cs="仿宋"/>
                <w:i w:val="0"/>
                <w:iCs w:val="0"/>
                <w:color w:val="auto"/>
                <w:kern w:val="0"/>
                <w:sz w:val="21"/>
                <w:szCs w:val="21"/>
                <w:u w:val="none"/>
                <w:lang w:val="en-US" w:eastAsia="zh-CN" w:bidi="ar"/>
              </w:rPr>
              <w:t>tce/万元的生产性行业</w:t>
            </w:r>
          </w:p>
        </w:tc>
        <w:tc>
          <w:tcPr>
            <w:tcW w:w="8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依据区域发展规划及“双控”目标进行分析，该部分行业对于区域的“双控”目标完成有一定影响，因此建议单独开展节能审查工作，深入分析项目对区域“双控”目标完成情况的影响。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5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工业增加值能耗高于</w:t>
            </w:r>
            <w:r>
              <w:rPr>
                <w:rFonts w:hint="eastAsia" w:ascii="仿宋" w:hAnsi="仿宋" w:cs="仿宋"/>
                <w:i w:val="0"/>
                <w:iCs w:val="0"/>
                <w:color w:val="auto"/>
                <w:kern w:val="0"/>
                <w:sz w:val="21"/>
                <w:szCs w:val="21"/>
                <w:u w:val="none"/>
                <w:lang w:val="en-US" w:eastAsia="zh-CN" w:bidi="ar"/>
              </w:rPr>
              <w:t>1.5358</w:t>
            </w:r>
            <w:r>
              <w:rPr>
                <w:rFonts w:hint="eastAsia" w:ascii="仿宋" w:hAnsi="仿宋" w:eastAsia="仿宋" w:cs="仿宋"/>
                <w:i w:val="0"/>
                <w:iCs w:val="0"/>
                <w:color w:val="auto"/>
                <w:kern w:val="0"/>
                <w:sz w:val="21"/>
                <w:szCs w:val="21"/>
                <w:u w:val="none"/>
                <w:lang w:val="en-US" w:eastAsia="zh-CN" w:bidi="ar"/>
              </w:rPr>
              <w:t>tce/万元的生产性行业</w:t>
            </w:r>
          </w:p>
        </w:tc>
        <w:tc>
          <w:tcPr>
            <w:tcW w:w="8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该部分产业虽然不是区域发展的主导产业，但是由于对区域“双控”目标完成不会产生较大影响，因此同样可以发展，并采用承诺备案制替代项目节能审查。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否</w:t>
            </w:r>
          </w:p>
        </w:tc>
      </w:tr>
    </w:tbl>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sectPr>
          <w:pgSz w:w="16838" w:h="11906" w:orient="landscape"/>
          <w:pgMar w:top="1800" w:right="1440" w:bottom="1800" w:left="1440" w:header="851" w:footer="992" w:gutter="0"/>
          <w:pgNumType w:fmt="decimal"/>
          <w:cols w:space="425" w:num="1"/>
          <w:docGrid w:type="lines" w:linePitch="312" w:charSpace="0"/>
        </w:sectPr>
      </w:pPr>
    </w:p>
    <w:p>
      <w:pPr>
        <w:pStyle w:val="3"/>
        <w:bidi w:val="0"/>
        <w:rPr>
          <w:rFonts w:hint="eastAsia"/>
          <w:color w:val="auto"/>
          <w:lang w:val="en-US" w:eastAsia="zh-CN"/>
        </w:rPr>
      </w:pPr>
      <w:bookmarkStart w:id="48" w:name="_Toc9536"/>
      <w:r>
        <w:rPr>
          <w:rFonts w:hint="eastAsia"/>
          <w:color w:val="auto"/>
          <w:lang w:val="en-US" w:eastAsia="zh-CN"/>
        </w:rPr>
        <w:t>5.2 区域产业负面清单的确定</w:t>
      </w:r>
      <w:bookmarkEnd w:id="48"/>
    </w:p>
    <w:p>
      <w:pPr>
        <w:rPr>
          <w:rFonts w:hint="eastAsia"/>
          <w:color w:val="auto"/>
          <w:lang w:val="en-US" w:eastAsia="zh-CN"/>
        </w:rPr>
      </w:pPr>
      <w:r>
        <w:rPr>
          <w:rFonts w:hint="eastAsia"/>
          <w:color w:val="auto"/>
          <w:lang w:val="en-US" w:eastAsia="zh-CN"/>
        </w:rPr>
        <w:t>通过上节对开发区产业发展分析，结合开发区发展规划，现制定园区工业固定资产投资项目负面清单，具体如下：</w:t>
      </w:r>
    </w:p>
    <w:p>
      <w:pPr>
        <w:rPr>
          <w:rFonts w:hint="eastAsia"/>
          <w:color w:val="auto"/>
          <w:lang w:val="en-US" w:eastAsia="zh-CN"/>
        </w:rPr>
      </w:pPr>
      <w:r>
        <w:rPr>
          <w:rFonts w:hint="eastAsia"/>
          <w:color w:val="auto"/>
          <w:lang w:val="en-US" w:eastAsia="zh-CN"/>
        </w:rPr>
        <w:t>1、六大高能耗项目</w:t>
      </w:r>
    </w:p>
    <w:p>
      <w:pPr>
        <w:rPr>
          <w:rFonts w:hint="eastAsia"/>
          <w:color w:val="auto"/>
          <w:lang w:val="en-US" w:eastAsia="zh-CN"/>
        </w:rPr>
      </w:pPr>
      <w:r>
        <w:rPr>
          <w:rFonts w:hint="eastAsia"/>
          <w:color w:val="auto"/>
          <w:lang w:val="en-US" w:eastAsia="zh-CN"/>
        </w:rPr>
        <w:t>将六大高耗能行业（1、石油加工、炼焦及核燃料加工业；2、化学原料及化学制品制造业；3、非金属矿物制品业；4、黑色金属冶炼及压延加工业；5、有色金属冶炼及压延加工业；6、电力热力的生产和供应业）划入区域负面清单，不能采用承诺备案制替代项目能评。</w:t>
      </w:r>
    </w:p>
    <w:p>
      <w:pPr>
        <w:rPr>
          <w:rFonts w:hint="eastAsia"/>
          <w:color w:val="auto"/>
          <w:lang w:val="en-US" w:eastAsia="zh-CN"/>
        </w:rPr>
      </w:pPr>
      <w:r>
        <w:rPr>
          <w:rFonts w:hint="eastAsia"/>
          <w:color w:val="auto"/>
          <w:lang w:val="en-US" w:eastAsia="zh-CN"/>
        </w:rPr>
        <w:t>2、产业政策规定限制类、淘汰类项目</w:t>
      </w:r>
    </w:p>
    <w:p>
      <w:pPr>
        <w:rPr>
          <w:rFonts w:hint="eastAsia"/>
          <w:color w:val="auto"/>
          <w:lang w:val="en-US" w:eastAsia="zh-CN"/>
        </w:rPr>
      </w:pPr>
      <w:r>
        <w:rPr>
          <w:rFonts w:hint="eastAsia"/>
          <w:color w:val="auto"/>
          <w:lang w:val="en-US" w:eastAsia="zh-CN"/>
        </w:rPr>
        <w:t>国家《产业结构调整指导目录》（2019年本）等产业政策规定的限制类、淘汰类项目列入负面清单，不能采用承诺备案制替代项目能评，同时建议该区域相关管理部门将其列入禁止发展的产业范畴。</w:t>
      </w:r>
    </w:p>
    <w:p>
      <w:pPr>
        <w:rPr>
          <w:rFonts w:hint="eastAsia"/>
          <w:color w:val="auto"/>
          <w:lang w:val="en-US" w:eastAsia="zh-CN"/>
        </w:rPr>
      </w:pPr>
      <w:r>
        <w:rPr>
          <w:rFonts w:hint="eastAsia"/>
          <w:color w:val="auto"/>
          <w:lang w:val="en-US" w:eastAsia="zh-CN"/>
        </w:rPr>
        <w:t>3、新增煤炭消费量的项目</w:t>
      </w:r>
    </w:p>
    <w:p>
      <w:pPr>
        <w:rPr>
          <w:rFonts w:hint="eastAsia"/>
          <w:color w:val="auto"/>
          <w:lang w:val="en-US" w:eastAsia="zh-CN"/>
        </w:rPr>
      </w:pPr>
      <w:r>
        <w:rPr>
          <w:rFonts w:hint="eastAsia"/>
          <w:color w:val="auto"/>
          <w:lang w:val="en-US" w:eastAsia="zh-CN"/>
        </w:rPr>
        <w:t>投资项目中新增煤炭消耗量的项目列入负面清单，不能采用承诺备案制替代项目能评。</w:t>
      </w:r>
    </w:p>
    <w:p>
      <w:pPr>
        <w:rPr>
          <w:rFonts w:hint="eastAsia"/>
          <w:color w:val="auto"/>
          <w:lang w:val="en-US" w:eastAsia="zh-CN"/>
        </w:rPr>
      </w:pPr>
      <w:r>
        <w:rPr>
          <w:rFonts w:hint="eastAsia"/>
          <w:color w:val="auto"/>
          <w:lang w:val="en-US" w:eastAsia="zh-CN"/>
        </w:rPr>
        <w:t>4、综合能耗大于3000tce的其他工业项目</w:t>
      </w:r>
    </w:p>
    <w:p>
      <w:pPr>
        <w:rPr>
          <w:rFonts w:hint="eastAsia"/>
          <w:color w:val="auto"/>
          <w:lang w:val="en-US" w:eastAsia="zh-CN"/>
        </w:rPr>
      </w:pPr>
      <w:r>
        <w:rPr>
          <w:rFonts w:hint="eastAsia"/>
          <w:color w:val="auto"/>
          <w:lang w:val="en-US" w:eastAsia="zh-CN"/>
        </w:rPr>
        <w:t>对于综合能耗大于3000tce的其他工业项目，均列入负面清单，不能采用承诺备案制替代项目能评，同时建议该区域相关管理部门将工业增加值能耗高于1.5358tce/万元的项目列入控制发展的产业范畴。</w:t>
      </w:r>
    </w:p>
    <w:p>
      <w:pPr>
        <w:rPr>
          <w:rFonts w:hint="eastAsia"/>
          <w:color w:val="auto"/>
          <w:lang w:val="en-US" w:eastAsia="zh-CN"/>
        </w:rPr>
      </w:pPr>
      <w:r>
        <w:rPr>
          <w:rFonts w:hint="eastAsia"/>
          <w:color w:val="auto"/>
          <w:lang w:val="en-US" w:eastAsia="zh-CN"/>
        </w:rPr>
        <w:t>5、综合能耗小于3000tce的其他工业项目</w:t>
      </w:r>
    </w:p>
    <w:p>
      <w:pPr>
        <w:rPr>
          <w:rFonts w:hint="eastAsia"/>
          <w:color w:val="auto"/>
          <w:lang w:val="en-US" w:eastAsia="zh-CN"/>
        </w:rPr>
      </w:pPr>
      <w:r>
        <w:rPr>
          <w:rFonts w:hint="eastAsia"/>
          <w:color w:val="auto"/>
          <w:lang w:val="en-US" w:eastAsia="zh-CN"/>
        </w:rPr>
        <w:t>对于综合能耗小于3000tce的其他工业项目，工业增加值能耗高于1.5358tce/万元的项目列入负面清单，不能采用承诺备案制替代项目能评。</w:t>
      </w:r>
    </w:p>
    <w:p>
      <w:pPr>
        <w:rPr>
          <w:rFonts w:hint="eastAsia"/>
          <w:color w:val="auto"/>
          <w:lang w:val="en-US" w:eastAsia="zh-CN"/>
        </w:rPr>
      </w:pPr>
      <w:r>
        <w:rPr>
          <w:rFonts w:hint="eastAsia"/>
          <w:color w:val="auto"/>
          <w:lang w:val="en-US" w:eastAsia="zh-CN"/>
        </w:rPr>
        <w:t>综上所述，投资项目符合上述要求评估界定中的一类，则均为负面清单。对负面清单外的项目实行承诺备案管理，负面清单内的项目需要单独开展节能审查工作。</w:t>
      </w:r>
    </w:p>
    <w:p>
      <w:pPr>
        <w:pStyle w:val="3"/>
        <w:bidi w:val="0"/>
        <w:rPr>
          <w:rFonts w:hint="eastAsia"/>
          <w:color w:val="auto"/>
          <w:lang w:val="en-US" w:eastAsia="zh-CN"/>
        </w:rPr>
      </w:pPr>
      <w:bookmarkStart w:id="49" w:name="_Toc29045"/>
      <w:r>
        <w:rPr>
          <w:rFonts w:hint="eastAsia"/>
          <w:color w:val="auto"/>
          <w:lang w:val="en-US" w:eastAsia="zh-CN"/>
        </w:rPr>
        <w:t>5.3 区域产业负面清单信息的汇总</w:t>
      </w:r>
      <w:bookmarkEnd w:id="49"/>
    </w:p>
    <w:p>
      <w:pPr>
        <w:rPr>
          <w:rFonts w:hint="eastAsia"/>
          <w:color w:val="auto"/>
          <w:lang w:val="en-US" w:eastAsia="zh-CN"/>
        </w:rPr>
      </w:pPr>
      <w:r>
        <w:rPr>
          <w:rFonts w:hint="eastAsia"/>
          <w:color w:val="auto"/>
          <w:lang w:val="en-US" w:eastAsia="zh-CN"/>
        </w:rPr>
        <w:t>依据评估界定值，对开发区工业固定资产投资项目建立负面清单，负面清单内的行业需要单独开展节能审查工作，其余为一般行业，可采用承诺备案制替代项目能评，在项目业主自愿的情况下，也可以单独开展节能审查工作。开发区区域能评负面清单信息汇总见下表：</w:t>
      </w:r>
    </w:p>
    <w:p>
      <w:pPr>
        <w:bidi w:val="0"/>
        <w:jc w:val="center"/>
        <w:rPr>
          <w:rFonts w:hint="eastAsia"/>
          <w:color w:val="auto"/>
          <w:lang w:val="en-US" w:eastAsia="zh-CN"/>
        </w:rPr>
      </w:pPr>
      <w:r>
        <w:rPr>
          <w:rFonts w:hint="eastAsia"/>
          <w:color w:val="auto"/>
          <w:lang w:val="en-US" w:eastAsia="zh-CN"/>
        </w:rPr>
        <w:t>表5-2 负面清单信息汇总</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89"/>
        <w:gridCol w:w="72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序号</w:t>
            </w:r>
          </w:p>
        </w:tc>
        <w:tc>
          <w:tcPr>
            <w:tcW w:w="7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类型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第一类</w:t>
            </w:r>
          </w:p>
        </w:tc>
        <w:tc>
          <w:tcPr>
            <w:tcW w:w="7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六大高能耗行业：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p>
        </w:tc>
        <w:tc>
          <w:tcPr>
            <w:tcW w:w="7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left"/>
              <w:textAlignment w:val="center"/>
              <w:rPr>
                <w:rFonts w:hint="default"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1</w:t>
            </w:r>
            <w:r>
              <w:rPr>
                <w:rFonts w:hint="eastAsia" w:ascii="仿宋" w:hAnsi="仿宋" w:eastAsia="仿宋" w:cs="仿宋"/>
                <w:i w:val="0"/>
                <w:iCs w:val="0"/>
                <w:color w:val="auto"/>
                <w:kern w:val="0"/>
                <w:sz w:val="21"/>
                <w:szCs w:val="21"/>
                <w:u w:val="none"/>
                <w:lang w:val="en-US" w:eastAsia="zh-CN" w:bidi="ar"/>
              </w:rPr>
              <w:t>、石油加工、炼焦及核燃料加工业；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p>
        </w:tc>
        <w:tc>
          <w:tcPr>
            <w:tcW w:w="7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left"/>
              <w:textAlignment w:val="center"/>
              <w:rPr>
                <w:rFonts w:hint="default"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2</w:t>
            </w:r>
            <w:r>
              <w:rPr>
                <w:rFonts w:hint="eastAsia" w:ascii="仿宋" w:hAnsi="仿宋" w:eastAsia="仿宋" w:cs="仿宋"/>
                <w:i w:val="0"/>
                <w:iCs w:val="0"/>
                <w:color w:val="auto"/>
                <w:kern w:val="0"/>
                <w:sz w:val="21"/>
                <w:szCs w:val="21"/>
                <w:u w:val="none"/>
                <w:lang w:val="en-US" w:eastAsia="zh-CN" w:bidi="ar"/>
              </w:rPr>
              <w:t>、化学原料及化学制品制造业；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p>
        </w:tc>
        <w:tc>
          <w:tcPr>
            <w:tcW w:w="7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left"/>
              <w:textAlignment w:val="center"/>
              <w:rPr>
                <w:rFonts w:hint="default"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3</w:t>
            </w:r>
            <w:r>
              <w:rPr>
                <w:rFonts w:hint="eastAsia" w:ascii="仿宋" w:hAnsi="仿宋" w:eastAsia="仿宋" w:cs="仿宋"/>
                <w:i w:val="0"/>
                <w:iCs w:val="0"/>
                <w:color w:val="auto"/>
                <w:kern w:val="0"/>
                <w:sz w:val="21"/>
                <w:szCs w:val="21"/>
                <w:u w:val="none"/>
                <w:lang w:val="en-US" w:eastAsia="zh-CN" w:bidi="ar"/>
              </w:rPr>
              <w:t>、非金属矿物制品业；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p>
        </w:tc>
        <w:tc>
          <w:tcPr>
            <w:tcW w:w="7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left"/>
              <w:textAlignment w:val="center"/>
              <w:rPr>
                <w:rFonts w:hint="default"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4</w:t>
            </w:r>
            <w:r>
              <w:rPr>
                <w:rFonts w:hint="eastAsia" w:ascii="仿宋" w:hAnsi="仿宋" w:eastAsia="仿宋" w:cs="仿宋"/>
                <w:i w:val="0"/>
                <w:iCs w:val="0"/>
                <w:color w:val="auto"/>
                <w:kern w:val="0"/>
                <w:sz w:val="21"/>
                <w:szCs w:val="21"/>
                <w:u w:val="none"/>
                <w:lang w:val="en-US" w:eastAsia="zh-CN" w:bidi="ar"/>
              </w:rPr>
              <w:t>、黑色金属冶炼及压延加工业；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p>
        </w:tc>
        <w:tc>
          <w:tcPr>
            <w:tcW w:w="7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left"/>
              <w:textAlignment w:val="center"/>
              <w:rPr>
                <w:rFonts w:hint="default"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5</w:t>
            </w:r>
            <w:r>
              <w:rPr>
                <w:rFonts w:hint="eastAsia" w:ascii="仿宋" w:hAnsi="仿宋" w:eastAsia="仿宋" w:cs="仿宋"/>
                <w:i w:val="0"/>
                <w:iCs w:val="0"/>
                <w:color w:val="auto"/>
                <w:kern w:val="0"/>
                <w:sz w:val="21"/>
                <w:szCs w:val="21"/>
                <w:u w:val="none"/>
                <w:lang w:val="en-US" w:eastAsia="zh-CN" w:bidi="ar"/>
              </w:rPr>
              <w:t>、有色金属冶炼及压延加工业；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p>
        </w:tc>
        <w:tc>
          <w:tcPr>
            <w:tcW w:w="7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left"/>
              <w:textAlignment w:val="center"/>
              <w:rPr>
                <w:rFonts w:hint="default"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6</w:t>
            </w:r>
            <w:r>
              <w:rPr>
                <w:rFonts w:hint="eastAsia" w:ascii="仿宋" w:hAnsi="仿宋" w:eastAsia="仿宋" w:cs="仿宋"/>
                <w:i w:val="0"/>
                <w:iCs w:val="0"/>
                <w:color w:val="auto"/>
                <w:kern w:val="0"/>
                <w:sz w:val="21"/>
                <w:szCs w:val="21"/>
                <w:u w:val="none"/>
                <w:lang w:val="en-US" w:eastAsia="zh-CN" w:bidi="ar"/>
              </w:rPr>
              <w:t>、电力热力的生产和供应业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第二类</w:t>
            </w:r>
          </w:p>
        </w:tc>
        <w:tc>
          <w:tcPr>
            <w:tcW w:w="7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国家《产业结构调整指导目录》（</w:t>
            </w:r>
            <w:r>
              <w:rPr>
                <w:rFonts w:hint="default" w:ascii="仿宋" w:hAnsi="仿宋" w:eastAsia="仿宋" w:cs="仿宋"/>
                <w:i w:val="0"/>
                <w:iCs w:val="0"/>
                <w:color w:val="auto"/>
                <w:kern w:val="0"/>
                <w:sz w:val="21"/>
                <w:szCs w:val="21"/>
                <w:u w:val="none"/>
                <w:lang w:val="en-US" w:eastAsia="zh-CN" w:bidi="ar"/>
              </w:rPr>
              <w:t>2019</w:t>
            </w:r>
            <w:r>
              <w:rPr>
                <w:rFonts w:hint="eastAsia" w:ascii="仿宋" w:hAnsi="仿宋" w:eastAsia="仿宋" w:cs="仿宋"/>
                <w:i w:val="0"/>
                <w:iCs w:val="0"/>
                <w:color w:val="auto"/>
                <w:kern w:val="0"/>
                <w:sz w:val="21"/>
                <w:szCs w:val="21"/>
                <w:u w:val="none"/>
                <w:lang w:val="en-US" w:eastAsia="zh-CN" w:bidi="ar"/>
              </w:rPr>
              <w:t>年本）等产业政策规定的限制类、淘汰类项目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第三类</w:t>
            </w:r>
          </w:p>
        </w:tc>
        <w:tc>
          <w:tcPr>
            <w:tcW w:w="7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投资项目中新增煤炭消耗量的项目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第四类</w:t>
            </w:r>
          </w:p>
        </w:tc>
        <w:tc>
          <w:tcPr>
            <w:tcW w:w="7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综合能耗大于</w:t>
            </w:r>
            <w:r>
              <w:rPr>
                <w:rFonts w:hint="default" w:ascii="仿宋" w:hAnsi="仿宋" w:eastAsia="仿宋" w:cs="仿宋"/>
                <w:i w:val="0"/>
                <w:iCs w:val="0"/>
                <w:color w:val="auto"/>
                <w:kern w:val="0"/>
                <w:sz w:val="21"/>
                <w:szCs w:val="21"/>
                <w:u w:val="none"/>
                <w:lang w:val="en-US" w:eastAsia="zh-CN" w:bidi="ar"/>
              </w:rPr>
              <w:t>3000tce</w:t>
            </w:r>
            <w:r>
              <w:rPr>
                <w:rFonts w:hint="eastAsia" w:ascii="仿宋" w:hAnsi="仿宋" w:eastAsia="仿宋" w:cs="仿宋"/>
                <w:i w:val="0"/>
                <w:iCs w:val="0"/>
                <w:color w:val="auto"/>
                <w:kern w:val="0"/>
                <w:sz w:val="21"/>
                <w:szCs w:val="21"/>
                <w:u w:val="none"/>
                <w:lang w:val="en-US" w:eastAsia="zh-CN" w:bidi="ar"/>
              </w:rPr>
              <w:t>的其他工业项目（即磷系新材料、氯碱化工、氟材料、钛材料、储能产业、铝基新材料、新型建材、特色农产品8个主导产业以外的项目）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第五类</w:t>
            </w:r>
          </w:p>
        </w:tc>
        <w:tc>
          <w:tcPr>
            <w:tcW w:w="7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工业增加值能耗高于</w:t>
            </w:r>
            <w:r>
              <w:rPr>
                <w:rFonts w:hint="eastAsia" w:ascii="仿宋" w:hAnsi="仿宋" w:cs="仿宋"/>
                <w:i w:val="0"/>
                <w:iCs w:val="0"/>
                <w:color w:val="auto"/>
                <w:kern w:val="0"/>
                <w:sz w:val="21"/>
                <w:szCs w:val="21"/>
                <w:u w:val="none"/>
                <w:lang w:val="en-US" w:eastAsia="zh-CN" w:bidi="ar"/>
              </w:rPr>
              <w:t>1.5358</w:t>
            </w:r>
            <w:r>
              <w:rPr>
                <w:rFonts w:hint="eastAsia" w:ascii="仿宋" w:hAnsi="仿宋" w:eastAsia="仿宋" w:cs="仿宋"/>
                <w:i w:val="0"/>
                <w:iCs w:val="0"/>
                <w:color w:val="auto"/>
                <w:kern w:val="0"/>
                <w:sz w:val="21"/>
                <w:szCs w:val="21"/>
                <w:u w:val="none"/>
                <w:lang w:val="en-US" w:eastAsia="zh-CN" w:bidi="ar"/>
              </w:rPr>
              <w:t>tce/万元的项目（即磷系新材料、氯碱化工、氟材料、钛材料、储能产业、铝基新材料、新型建材、特色农产品8个主导产业以外的项目）</w:t>
            </w:r>
          </w:p>
        </w:tc>
      </w:tr>
    </w:tbl>
    <w:p>
      <w:pPr>
        <w:bidi w:val="0"/>
        <w:rPr>
          <w:rFonts w:hint="eastAsia"/>
          <w:color w:val="auto"/>
          <w:lang w:val="en-US" w:eastAsia="zh-CN"/>
        </w:rPr>
      </w:pPr>
      <w:r>
        <w:rPr>
          <w:rFonts w:hint="eastAsia"/>
          <w:color w:val="auto"/>
          <w:lang w:val="en-US" w:eastAsia="zh-CN"/>
        </w:rPr>
        <w:t>通过简化审批环节和优化审批流程，对一般项目实行承诺备案管理，以政府服务代替企业办事，全面提高能评审批效率，不断优化发展环境。</w:t>
      </w:r>
    </w:p>
    <w:p>
      <w:pPr>
        <w:bidi w:val="0"/>
        <w:rPr>
          <w:rFonts w:hint="eastAsia"/>
          <w:color w:val="auto"/>
          <w:lang w:val="en-US" w:eastAsia="zh-CN"/>
        </w:rPr>
      </w:pPr>
    </w:p>
    <w:p>
      <w:pPr>
        <w:rPr>
          <w:rFonts w:hint="eastAsia"/>
          <w:color w:val="auto"/>
          <w:lang w:val="en-US" w:eastAsia="zh-CN"/>
        </w:rPr>
      </w:pPr>
      <w:r>
        <w:rPr>
          <w:rFonts w:hint="eastAsia"/>
          <w:color w:val="auto"/>
          <w:lang w:val="en-US" w:eastAsia="zh-CN"/>
        </w:rPr>
        <w:br w:type="page"/>
      </w:r>
    </w:p>
    <w:p>
      <w:pPr>
        <w:pStyle w:val="2"/>
        <w:bidi w:val="0"/>
        <w:rPr>
          <w:rFonts w:hint="eastAsia"/>
          <w:color w:val="auto"/>
          <w:lang w:val="en-US" w:eastAsia="zh-CN"/>
        </w:rPr>
      </w:pPr>
      <w:bookmarkStart w:id="50" w:name="_Toc957"/>
      <w:r>
        <w:rPr>
          <w:rFonts w:hint="eastAsia"/>
          <w:color w:val="auto"/>
          <w:lang w:val="en-US" w:eastAsia="zh-CN"/>
        </w:rPr>
        <w:t>第六章 区域节能措施</w:t>
      </w:r>
      <w:bookmarkEnd w:id="50"/>
    </w:p>
    <w:p>
      <w:pPr>
        <w:pStyle w:val="3"/>
        <w:bidi w:val="0"/>
        <w:rPr>
          <w:rFonts w:hint="eastAsia"/>
          <w:color w:val="auto"/>
          <w:lang w:val="en-US" w:eastAsia="zh-CN"/>
        </w:rPr>
      </w:pPr>
      <w:bookmarkStart w:id="51" w:name="_Toc8095"/>
      <w:r>
        <w:rPr>
          <w:rFonts w:hint="eastAsia"/>
          <w:color w:val="auto"/>
          <w:lang w:val="en-US" w:eastAsia="zh-CN"/>
        </w:rPr>
        <w:t>6.1 区域各行业节能技术措施</w:t>
      </w:r>
      <w:bookmarkEnd w:id="51"/>
    </w:p>
    <w:p>
      <w:pPr>
        <w:pStyle w:val="4"/>
        <w:bidi w:val="0"/>
        <w:rPr>
          <w:rFonts w:hint="eastAsia"/>
          <w:color w:val="auto"/>
          <w:lang w:val="en-US" w:eastAsia="zh-CN"/>
        </w:rPr>
      </w:pPr>
      <w:bookmarkStart w:id="52" w:name="_Toc28025"/>
      <w:r>
        <w:rPr>
          <w:rFonts w:hint="eastAsia"/>
          <w:color w:val="auto"/>
          <w:lang w:val="en-US" w:eastAsia="zh-CN"/>
        </w:rPr>
        <w:t>6.1.1 磷系化工及其他化工产业</w:t>
      </w:r>
      <w:bookmarkEnd w:id="52"/>
    </w:p>
    <w:p>
      <w:pPr>
        <w:rPr>
          <w:rFonts w:hint="eastAsia"/>
          <w:color w:val="auto"/>
          <w:lang w:val="en-US" w:eastAsia="zh-CN"/>
        </w:rPr>
      </w:pPr>
      <w:r>
        <w:rPr>
          <w:rFonts w:hint="eastAsia"/>
          <w:color w:val="auto"/>
          <w:lang w:val="en-US" w:eastAsia="zh-CN"/>
        </w:rPr>
        <w:t>1、充分利用黄磷尾气、磷泥、黄磷炉渣、磷铁等，对其进行利用生产高附加值的能源或资源综合利用产品。</w:t>
      </w:r>
    </w:p>
    <w:p>
      <w:pPr>
        <w:rPr>
          <w:rFonts w:hint="eastAsia"/>
          <w:color w:val="auto"/>
          <w:lang w:val="en-US" w:eastAsia="zh-CN"/>
        </w:rPr>
      </w:pPr>
      <w:r>
        <w:rPr>
          <w:rFonts w:hint="eastAsia"/>
          <w:color w:val="auto"/>
          <w:lang w:val="en-US" w:eastAsia="zh-CN"/>
        </w:rPr>
        <w:t>2、开发区应根据磷系及配套化工产业链上下游关系，整体规划，构建科学的化工产业园循环体系，同时结合产业特点，推进企业和项目的耦合发展，形成“资源、产品、再生能源资源”循环经济模式。</w:t>
      </w:r>
    </w:p>
    <w:p>
      <w:pPr>
        <w:rPr>
          <w:rFonts w:hint="eastAsia"/>
          <w:color w:val="auto"/>
          <w:lang w:val="en-US" w:eastAsia="zh-CN"/>
        </w:rPr>
      </w:pPr>
      <w:r>
        <w:rPr>
          <w:rFonts w:hint="eastAsia"/>
          <w:color w:val="auto"/>
          <w:lang w:val="en-US" w:eastAsia="zh-CN"/>
        </w:rPr>
        <w:t>3、皮带机变频能效系统技术，通过料流传感器及PLC网络系统智能系统，检测和计算胶带上运送物料的情况，并与变频器配合，实现皮带机的节能运行，最大限度的提高皮带输送机的整体运行效率。</w:t>
      </w:r>
    </w:p>
    <w:p>
      <w:pPr>
        <w:rPr>
          <w:rFonts w:hint="eastAsia"/>
          <w:color w:val="auto"/>
          <w:lang w:val="en-US" w:eastAsia="zh-CN"/>
        </w:rPr>
      </w:pPr>
      <w:r>
        <w:rPr>
          <w:rFonts w:hint="eastAsia"/>
          <w:color w:val="auto"/>
          <w:lang w:val="en-US" w:eastAsia="zh-CN"/>
        </w:rPr>
        <w:t>4、高压变频调速技术，实现变频调速系统的高输出功率（功率因素＞0.95），同时消除谐波污染，对中高压大功率风机、水泵的节能降耗作用明显。</w:t>
      </w:r>
    </w:p>
    <w:p>
      <w:pPr>
        <w:rPr>
          <w:rFonts w:hint="eastAsia"/>
          <w:color w:val="auto"/>
          <w:lang w:val="en-US" w:eastAsia="zh-CN"/>
        </w:rPr>
      </w:pPr>
      <w:r>
        <w:rPr>
          <w:rFonts w:hint="eastAsia"/>
          <w:color w:val="auto"/>
          <w:lang w:val="en-US" w:eastAsia="zh-CN"/>
        </w:rPr>
        <w:t>5、自然通风逆流使式冷却塔风水匹配强化换热技术，对冷却塔进风在塔内的分布进行全面三维精确计算，根据进风的分布情况重新设计配水系统使塔内各处的布水与进风做到最佳匹配。</w:t>
      </w:r>
    </w:p>
    <w:p>
      <w:pPr>
        <w:pStyle w:val="4"/>
        <w:bidi w:val="0"/>
        <w:rPr>
          <w:rFonts w:hint="eastAsia"/>
          <w:color w:val="auto"/>
          <w:lang w:val="en-US" w:eastAsia="zh-CN"/>
        </w:rPr>
      </w:pPr>
      <w:bookmarkStart w:id="53" w:name="_Toc4699"/>
      <w:r>
        <w:rPr>
          <w:rFonts w:hint="eastAsia"/>
          <w:color w:val="auto"/>
          <w:lang w:val="en-US" w:eastAsia="zh-CN"/>
        </w:rPr>
        <w:t>6.1.2 建材产业</w:t>
      </w:r>
      <w:bookmarkEnd w:id="53"/>
    </w:p>
    <w:p>
      <w:pPr>
        <w:rPr>
          <w:rFonts w:hint="eastAsia"/>
          <w:color w:val="auto"/>
          <w:lang w:val="en-US" w:eastAsia="zh-CN"/>
        </w:rPr>
      </w:pPr>
      <w:r>
        <w:rPr>
          <w:rFonts w:hint="eastAsia"/>
          <w:color w:val="auto"/>
          <w:lang w:val="en-US" w:eastAsia="zh-CN"/>
        </w:rPr>
        <w:t>1、在水泥窑、冷却机、预热器、热风管到等设备上使用高性能隔热材料，在新建、检修工程中使用高性能隔热材料减少散热。</w:t>
      </w:r>
    </w:p>
    <w:p>
      <w:pPr>
        <w:rPr>
          <w:rFonts w:hint="eastAsia"/>
          <w:color w:val="auto"/>
          <w:lang w:val="en-US" w:eastAsia="zh-CN"/>
        </w:rPr>
      </w:pPr>
      <w:r>
        <w:rPr>
          <w:rFonts w:hint="eastAsia"/>
          <w:color w:val="auto"/>
          <w:lang w:val="en-US" w:eastAsia="zh-CN"/>
        </w:rPr>
        <w:t>2、建议实施水泥窑余热发电，采用纯低温余热发电技术。</w:t>
      </w:r>
    </w:p>
    <w:p>
      <w:pPr>
        <w:rPr>
          <w:rFonts w:hint="eastAsia"/>
          <w:color w:val="auto"/>
          <w:lang w:val="en-US" w:eastAsia="zh-CN"/>
        </w:rPr>
      </w:pPr>
      <w:r>
        <w:rPr>
          <w:rFonts w:hint="eastAsia"/>
          <w:color w:val="auto"/>
          <w:lang w:val="en-US" w:eastAsia="zh-CN"/>
        </w:rPr>
        <w:t>3、水泥预热器综合改造技术工程，窑密封采用简单易行的石墨块鱼鳞片型式结构，将漏风率控制在1%以下。改善预热器的煤燃烧状况，寻找合适的喷煤点；改善通风，防止预热器塌料结皮堵塞；强化预热器物料的分散与热交换，使用先进的内筒结构与材料，延长使用周期；喷煤管及回转窑使用优质的耐火材料。</w:t>
      </w:r>
    </w:p>
    <w:p>
      <w:pPr>
        <w:rPr>
          <w:rFonts w:hint="eastAsia"/>
          <w:color w:val="auto"/>
          <w:lang w:val="en-US" w:eastAsia="zh-CN"/>
        </w:rPr>
      </w:pPr>
      <w:r>
        <w:rPr>
          <w:rFonts w:hint="eastAsia"/>
          <w:color w:val="auto"/>
          <w:lang w:val="en-US" w:eastAsia="zh-CN"/>
        </w:rPr>
        <w:t>4、商品混凝土搅拌站推荐使用分级智能化管理系统，提高搅拌站的生产效率和节能减排效率。</w:t>
      </w:r>
    </w:p>
    <w:p>
      <w:pPr>
        <w:pStyle w:val="4"/>
        <w:bidi w:val="0"/>
        <w:rPr>
          <w:rFonts w:hint="eastAsia"/>
          <w:color w:val="auto"/>
          <w:lang w:val="en-US" w:eastAsia="zh-CN"/>
        </w:rPr>
      </w:pPr>
      <w:bookmarkStart w:id="54" w:name="_Toc24468"/>
      <w:r>
        <w:rPr>
          <w:rFonts w:hint="eastAsia"/>
          <w:color w:val="auto"/>
          <w:lang w:val="en-US" w:eastAsia="zh-CN"/>
        </w:rPr>
        <w:t>6.1.3 食品药品制造产业</w:t>
      </w:r>
      <w:bookmarkEnd w:id="54"/>
    </w:p>
    <w:p>
      <w:pPr>
        <w:rPr>
          <w:rFonts w:hint="eastAsia"/>
          <w:color w:val="auto"/>
          <w:lang w:val="en-US" w:eastAsia="zh-CN"/>
        </w:rPr>
      </w:pPr>
      <w:r>
        <w:rPr>
          <w:rFonts w:hint="eastAsia"/>
          <w:color w:val="auto"/>
          <w:lang w:val="en-US" w:eastAsia="zh-CN"/>
        </w:rPr>
        <w:t>1、高压脉冲技术</w:t>
      </w:r>
    </w:p>
    <w:p>
      <w:pPr>
        <w:rPr>
          <w:rFonts w:hint="eastAsia"/>
          <w:color w:val="auto"/>
          <w:lang w:val="en-US" w:eastAsia="zh-CN"/>
        </w:rPr>
      </w:pPr>
      <w:r>
        <w:rPr>
          <w:rFonts w:hint="eastAsia"/>
          <w:color w:val="auto"/>
          <w:lang w:val="en-US" w:eastAsia="zh-CN"/>
        </w:rPr>
        <w:t>技术介绍：高压脉冲技术是将待灭菌液态物料采用泵等方式流经设置有高强脉冲电场的处理器，微生物在极短时间内受强电场力的作用后，细胞结构破坏，菌体死亡。</w:t>
      </w:r>
    </w:p>
    <w:p>
      <w:pPr>
        <w:rPr>
          <w:rFonts w:hint="eastAsia"/>
          <w:color w:val="auto"/>
          <w:lang w:val="en-US" w:eastAsia="zh-CN"/>
        </w:rPr>
      </w:pPr>
      <w:r>
        <w:rPr>
          <w:rFonts w:hint="eastAsia"/>
          <w:color w:val="auto"/>
          <w:lang w:val="en-US" w:eastAsia="zh-CN"/>
        </w:rPr>
        <w:t>（1）高电压脉冲灭菌相比于热杀菌的优点</w:t>
      </w:r>
    </w:p>
    <w:p>
      <w:pPr>
        <w:rPr>
          <w:rFonts w:hint="eastAsia"/>
          <w:color w:val="auto"/>
          <w:lang w:val="en-US" w:eastAsia="zh-CN"/>
        </w:rPr>
      </w:pPr>
      <w:r>
        <w:rPr>
          <w:rFonts w:hint="eastAsia"/>
          <w:color w:val="auto"/>
          <w:lang w:val="en-US" w:eastAsia="zh-CN"/>
        </w:rPr>
        <w:t>①灭菌效果好。更有效的杀灭食物中的微生物，高电压脉冲灭菌法可达到杀菌6个数量级以上。</w:t>
      </w:r>
    </w:p>
    <w:p>
      <w:pPr>
        <w:rPr>
          <w:rFonts w:hint="eastAsia"/>
          <w:color w:val="auto"/>
          <w:lang w:val="en-US" w:eastAsia="zh-CN"/>
        </w:rPr>
      </w:pPr>
      <w:r>
        <w:rPr>
          <w:rFonts w:hint="eastAsia"/>
          <w:color w:val="auto"/>
          <w:lang w:val="en-US" w:eastAsia="zh-CN"/>
        </w:rPr>
        <w:t>②杀菌温度低，对食物的营养成分保存效果好。其中食物的主要指标，蛋白质及维生素的损伤率只有几个百分点，甚至为零。而巴氏灭菌法对食物的营养成分破坏相对来说是很严重的，其中蛋白质及维生素的损耗远远超出高电压脉冲灭菌法。</w:t>
      </w:r>
    </w:p>
    <w:p>
      <w:pPr>
        <w:rPr>
          <w:rFonts w:hint="eastAsia"/>
          <w:color w:val="auto"/>
          <w:lang w:val="en-US" w:eastAsia="zh-CN"/>
        </w:rPr>
      </w:pPr>
      <w:r>
        <w:rPr>
          <w:rFonts w:hint="eastAsia"/>
          <w:color w:val="auto"/>
          <w:lang w:val="en-US" w:eastAsia="zh-CN"/>
        </w:rPr>
        <w:t>③高压脉冲处理不会引起食品营养成分的改变。在食品成分的变化方面，蛋白质最易于受各种理化或微生物因素的作用而分解腐败，从而使食品的质量降低。有研究表明，高压脉冲处理不会引起食品中蛋白质等的变化而导致食品营养成分的改变。</w:t>
      </w:r>
    </w:p>
    <w:p>
      <w:pPr>
        <w:rPr>
          <w:rFonts w:hint="eastAsia"/>
          <w:color w:val="auto"/>
          <w:lang w:val="en-US" w:eastAsia="zh-CN"/>
        </w:rPr>
      </w:pPr>
      <w:r>
        <w:rPr>
          <w:rFonts w:hint="eastAsia"/>
          <w:color w:val="auto"/>
          <w:lang w:val="en-US" w:eastAsia="zh-CN"/>
        </w:rPr>
        <w:t>④灭菌速度极快。食品实际接受脉冲电场作用的时间在毫秒以内，整体灭菌工序操作时间在数秒以内，而巴氏灭菌法的灭菌时间较长，二者的灭菌速度有很大的区别。</w:t>
      </w:r>
    </w:p>
    <w:p>
      <w:pPr>
        <w:rPr>
          <w:rFonts w:hint="eastAsia"/>
          <w:color w:val="auto"/>
          <w:lang w:val="en-US" w:eastAsia="zh-CN"/>
        </w:rPr>
      </w:pPr>
      <w:r>
        <w:rPr>
          <w:rFonts w:hint="eastAsia"/>
          <w:color w:val="auto"/>
          <w:lang w:val="en-US" w:eastAsia="zh-CN"/>
        </w:rPr>
        <w:t>⑤处理均匀。在电场中各部分的物料均受到了相同大小场强的处理问。</w:t>
      </w:r>
    </w:p>
    <w:p>
      <w:pPr>
        <w:rPr>
          <w:rFonts w:hint="eastAsia"/>
          <w:color w:val="auto"/>
          <w:lang w:val="en-US" w:eastAsia="zh-CN"/>
        </w:rPr>
      </w:pPr>
      <w:r>
        <w:rPr>
          <w:rFonts w:hint="eastAsia"/>
          <w:color w:val="auto"/>
          <w:lang w:val="en-US" w:eastAsia="zh-CN"/>
        </w:rPr>
        <w:t>⑥灭菌后易处理。用高电压脉冲失菌法灭菌后，食物温度变化很少，完成消毒过程之后即可进行封装，而用巴氏灭菌法进行灭菌后，食物温度很高，必须经过一段时间的冷却后才能进行封装，效率远不及高电压脉冲灭菌法门。</w:t>
      </w:r>
    </w:p>
    <w:p>
      <w:pPr>
        <w:rPr>
          <w:rFonts w:hint="eastAsia"/>
          <w:color w:val="auto"/>
          <w:lang w:val="en-US" w:eastAsia="zh-CN"/>
        </w:rPr>
      </w:pPr>
      <w:r>
        <w:rPr>
          <w:rFonts w:hint="eastAsia"/>
          <w:color w:val="auto"/>
          <w:lang w:val="en-US" w:eastAsia="zh-CN"/>
        </w:rPr>
        <w:t>⑦不会产生对人体有害的自由基物质。食品中含有的某些营养素及酶类物质，经氧化后会成为自由基的产生来源之一。自由基在很多的情况下对人体有损害作用。实验发现，高压脉冲电场处理后不会产生对人体有害的自由基物质。</w:t>
      </w:r>
    </w:p>
    <w:p>
      <w:pPr>
        <w:rPr>
          <w:rFonts w:hint="eastAsia"/>
          <w:color w:val="auto"/>
          <w:lang w:val="en-US" w:eastAsia="zh-CN"/>
        </w:rPr>
      </w:pPr>
      <w:r>
        <w:rPr>
          <w:rFonts w:hint="eastAsia"/>
          <w:color w:val="auto"/>
          <w:lang w:val="en-US" w:eastAsia="zh-CN"/>
        </w:rPr>
        <w:t>实施效果：对果汁杀菌效果好，营养成分损失少，提高果汁饮料的品质。</w:t>
      </w:r>
    </w:p>
    <w:p>
      <w:pPr>
        <w:rPr>
          <w:rFonts w:hint="eastAsia"/>
          <w:color w:val="auto"/>
          <w:lang w:val="en-US" w:eastAsia="zh-CN"/>
        </w:rPr>
      </w:pPr>
      <w:r>
        <w:rPr>
          <w:rFonts w:hint="eastAsia"/>
          <w:color w:val="auto"/>
          <w:lang w:val="en-US" w:eastAsia="zh-CN"/>
        </w:rPr>
        <w:t>2、冷冻浓缩技术</w:t>
      </w:r>
    </w:p>
    <w:p>
      <w:pPr>
        <w:rPr>
          <w:rFonts w:hint="eastAsia"/>
          <w:color w:val="auto"/>
          <w:lang w:val="en-US" w:eastAsia="zh-CN"/>
        </w:rPr>
      </w:pPr>
      <w:r>
        <w:rPr>
          <w:rFonts w:hint="eastAsia"/>
          <w:color w:val="auto"/>
          <w:lang w:val="en-US" w:eastAsia="zh-CN"/>
        </w:rPr>
        <w:t>技术介绍：冷冻浓缩是利用冰与水溶液之间固液相平衡原理的一种浓缩方法。其操作是把稀溶液降温至水的冰点（凝固点）以下使得部分水冻结成冰晶，把冰品分离出去从而得到浓缩液，同时由于在较低温度下操作，冷冻浓缩具有以下优点：</w:t>
      </w:r>
    </w:p>
    <w:p>
      <w:pPr>
        <w:rPr>
          <w:rFonts w:hint="eastAsia"/>
          <w:color w:val="auto"/>
          <w:lang w:val="en-US" w:eastAsia="zh-CN"/>
        </w:rPr>
      </w:pPr>
      <w:r>
        <w:rPr>
          <w:rFonts w:hint="eastAsia"/>
          <w:color w:val="auto"/>
          <w:lang w:val="en-US" w:eastAsia="zh-CN"/>
        </w:rPr>
        <w:t>①挥发性芳香成分损失和酶、色素等热敏性成分的变化极少；</w:t>
      </w:r>
    </w:p>
    <w:p>
      <w:pPr>
        <w:rPr>
          <w:rFonts w:hint="eastAsia"/>
          <w:color w:val="auto"/>
          <w:lang w:val="en-US" w:eastAsia="zh-CN"/>
        </w:rPr>
      </w:pPr>
      <w:r>
        <w:rPr>
          <w:rFonts w:hint="eastAsia"/>
          <w:color w:val="auto"/>
          <w:lang w:val="en-US" w:eastAsia="zh-CN"/>
        </w:rPr>
        <w:t>②可避免操作中微生物的增殖；</w:t>
      </w:r>
    </w:p>
    <w:p>
      <w:pPr>
        <w:rPr>
          <w:rFonts w:hint="eastAsia"/>
          <w:color w:val="auto"/>
          <w:lang w:val="en-US" w:eastAsia="zh-CN"/>
        </w:rPr>
      </w:pPr>
      <w:r>
        <w:rPr>
          <w:rFonts w:hint="eastAsia"/>
          <w:color w:val="auto"/>
          <w:lang w:val="en-US" w:eastAsia="zh-CN"/>
        </w:rPr>
        <w:t>③不存在膜分离中的泄漏操作中微生物的增殖；</w:t>
      </w:r>
    </w:p>
    <w:p>
      <w:pPr>
        <w:rPr>
          <w:rFonts w:hint="eastAsia"/>
          <w:color w:val="auto"/>
          <w:lang w:val="en-US" w:eastAsia="zh-CN"/>
        </w:rPr>
      </w:pPr>
      <w:r>
        <w:rPr>
          <w:rFonts w:hint="eastAsia"/>
          <w:color w:val="auto"/>
          <w:lang w:val="en-US" w:eastAsia="zh-CN"/>
        </w:rPr>
        <w:t>④不存在膜分离中的泄漏短路危险；</w:t>
      </w:r>
    </w:p>
    <w:p>
      <w:pPr>
        <w:rPr>
          <w:rFonts w:hint="eastAsia"/>
          <w:color w:val="auto"/>
          <w:lang w:val="en-US" w:eastAsia="zh-CN"/>
        </w:rPr>
      </w:pPr>
      <w:r>
        <w:rPr>
          <w:rFonts w:hint="eastAsia"/>
          <w:color w:val="auto"/>
          <w:lang w:val="en-US" w:eastAsia="zh-CN"/>
        </w:rPr>
        <w:t>⑤可避免因蒸馏引起的聚合反应和冷凝反应；</w:t>
      </w:r>
    </w:p>
    <w:p>
      <w:pPr>
        <w:rPr>
          <w:rFonts w:hint="eastAsia"/>
          <w:color w:val="auto"/>
          <w:lang w:val="en-US" w:eastAsia="zh-CN"/>
        </w:rPr>
      </w:pPr>
      <w:r>
        <w:rPr>
          <w:rFonts w:hint="eastAsia"/>
          <w:color w:val="auto"/>
          <w:lang w:val="en-US" w:eastAsia="zh-CN"/>
        </w:rPr>
        <w:t>⑥含多种溶质的溶液浓缩时，仅去除水分，不会造成母液组成的变化。</w:t>
      </w:r>
    </w:p>
    <w:p>
      <w:pPr>
        <w:rPr>
          <w:rFonts w:hint="eastAsia"/>
          <w:color w:val="auto"/>
          <w:lang w:val="en-US" w:eastAsia="zh-CN"/>
        </w:rPr>
      </w:pPr>
      <w:r>
        <w:rPr>
          <w:rFonts w:hint="eastAsia"/>
          <w:color w:val="auto"/>
          <w:lang w:val="en-US" w:eastAsia="zh-CN"/>
        </w:rPr>
        <w:t>因此，从保护被浓缩物品质角度讲，冷冻浓缩是最佳方法。理论上可达到的最高浓度为果汁的共晶浓度。在实际作业中第一次可以浓缩到20%-25%，而冷冻浓缩需要反复多次，最终大约可以达到30%的浓度。</w:t>
      </w:r>
    </w:p>
    <w:p>
      <w:pPr>
        <w:rPr>
          <w:rFonts w:hint="eastAsia"/>
          <w:color w:val="auto"/>
          <w:lang w:val="en-US" w:eastAsia="zh-CN"/>
        </w:rPr>
      </w:pPr>
      <w:r>
        <w:rPr>
          <w:rFonts w:hint="eastAsia"/>
          <w:color w:val="auto"/>
          <w:lang w:val="en-US" w:eastAsia="zh-CN"/>
        </w:rPr>
        <w:t>实施效果：节约浓缩成本约25%。</w:t>
      </w:r>
    </w:p>
    <w:p>
      <w:pPr>
        <w:pStyle w:val="4"/>
        <w:bidi w:val="0"/>
        <w:rPr>
          <w:rFonts w:hint="eastAsia"/>
          <w:color w:val="auto"/>
          <w:lang w:val="en-US" w:eastAsia="zh-CN"/>
        </w:rPr>
      </w:pPr>
      <w:bookmarkStart w:id="55" w:name="_Toc20154"/>
      <w:r>
        <w:rPr>
          <w:rFonts w:hint="eastAsia"/>
          <w:color w:val="auto"/>
          <w:lang w:val="en-US" w:eastAsia="zh-CN"/>
        </w:rPr>
        <w:t>6.1.4 公用工程节能技术措施</w:t>
      </w:r>
      <w:bookmarkEnd w:id="55"/>
    </w:p>
    <w:p>
      <w:pPr>
        <w:rPr>
          <w:rFonts w:hint="eastAsia"/>
          <w:color w:val="auto"/>
          <w:lang w:val="en-US" w:eastAsia="zh-CN"/>
        </w:rPr>
      </w:pPr>
      <w:r>
        <w:rPr>
          <w:rFonts w:hint="eastAsia"/>
          <w:color w:val="auto"/>
          <w:lang w:val="en-US" w:eastAsia="zh-CN"/>
        </w:rPr>
        <w:t>1、供配电系统</w:t>
      </w:r>
    </w:p>
    <w:p>
      <w:pPr>
        <w:rPr>
          <w:rFonts w:hint="eastAsia"/>
          <w:color w:val="auto"/>
          <w:lang w:val="en-US" w:eastAsia="zh-CN"/>
        </w:rPr>
      </w:pPr>
      <w:r>
        <w:rPr>
          <w:rFonts w:hint="eastAsia"/>
          <w:color w:val="auto"/>
          <w:lang w:val="en-US" w:eastAsia="zh-CN"/>
        </w:rPr>
        <w:t>（1）配置节能型动力变压器：选用低损耗节能电力变压器，装置变压器分别安装在设备就近的配电房，提高供配电效率。</w:t>
      </w:r>
    </w:p>
    <w:p>
      <w:pPr>
        <w:rPr>
          <w:rFonts w:hint="eastAsia"/>
          <w:color w:val="auto"/>
          <w:lang w:val="en-US" w:eastAsia="zh-CN"/>
        </w:rPr>
      </w:pPr>
      <w:r>
        <w:rPr>
          <w:rFonts w:hint="eastAsia"/>
          <w:color w:val="auto"/>
          <w:lang w:val="en-US" w:eastAsia="zh-CN"/>
        </w:rPr>
        <w:t>（2）优化供配电系统：进一步优化设计供配电系统，降低线损率，使得线损率控制在1.5%以内（一次变压≤3.5%）；变配电系统采取集中和就地补偿相结合的补偿方式，选用高性能无功补偿装置提高功率因素，使总功率因数目标控制在0.95左右，将变压器设置在负荷中心，以缩短管线，减少线损。重视网络配置，包括力求电网相间平衡，选用低能耗导线，减小线网损失。</w:t>
      </w:r>
    </w:p>
    <w:p>
      <w:pPr>
        <w:rPr>
          <w:rFonts w:hint="eastAsia"/>
          <w:color w:val="auto"/>
          <w:lang w:val="en-US" w:eastAsia="zh-CN"/>
        </w:rPr>
      </w:pPr>
      <w:r>
        <w:rPr>
          <w:rFonts w:hint="eastAsia"/>
          <w:color w:val="auto"/>
          <w:lang w:val="en-US" w:eastAsia="zh-CN"/>
        </w:rPr>
        <w:t>2、给排水系统</w:t>
      </w:r>
    </w:p>
    <w:p>
      <w:pPr>
        <w:rPr>
          <w:rFonts w:hint="eastAsia"/>
          <w:color w:val="auto"/>
          <w:lang w:val="en-US" w:eastAsia="zh-CN"/>
        </w:rPr>
      </w:pPr>
      <w:r>
        <w:rPr>
          <w:rFonts w:hint="eastAsia"/>
          <w:color w:val="auto"/>
          <w:lang w:val="en-US" w:eastAsia="zh-CN"/>
        </w:rPr>
        <w:t>（1）各建筑物内的卫生器具均采用节水型产品，从用水终端节约用水。</w:t>
      </w:r>
    </w:p>
    <w:p>
      <w:pPr>
        <w:rPr>
          <w:rFonts w:hint="eastAsia"/>
          <w:color w:val="auto"/>
          <w:lang w:val="en-US" w:eastAsia="zh-CN"/>
        </w:rPr>
      </w:pPr>
      <w:r>
        <w:rPr>
          <w:rFonts w:hint="eastAsia"/>
          <w:color w:val="auto"/>
          <w:lang w:val="en-US" w:eastAsia="zh-CN"/>
        </w:rPr>
        <w:t>（2）根据用水水质要求不同，采用处理后的地表水作为循环冷却水补水、道路冲洗水、绿化用水等，有效降低了新水的消耗。</w:t>
      </w:r>
    </w:p>
    <w:p>
      <w:pPr>
        <w:rPr>
          <w:rFonts w:hint="eastAsia"/>
          <w:color w:val="auto"/>
          <w:lang w:val="en-US" w:eastAsia="zh-CN"/>
        </w:rPr>
      </w:pPr>
      <w:r>
        <w:rPr>
          <w:rFonts w:hint="eastAsia"/>
          <w:color w:val="auto"/>
          <w:lang w:val="en-US" w:eastAsia="zh-CN"/>
        </w:rPr>
        <w:t>（3）循环水系统节能措施</w:t>
      </w:r>
    </w:p>
    <w:p>
      <w:pPr>
        <w:rPr>
          <w:rFonts w:hint="eastAsia"/>
          <w:color w:val="auto"/>
          <w:lang w:val="en-US" w:eastAsia="zh-CN"/>
        </w:rPr>
      </w:pPr>
      <w:r>
        <w:rPr>
          <w:rFonts w:hint="eastAsia"/>
          <w:color w:val="auto"/>
          <w:lang w:val="en-US" w:eastAsia="zh-CN"/>
        </w:rPr>
        <w:t>鼓励采用节能型冷却塔和高效泵节能改造，同时为进一步提高循环水系统电能利用效率，采用循环水系统能量优化方案，即对循环水系统整体考虑，具体节能控制措施如下：</w:t>
      </w:r>
    </w:p>
    <w:p>
      <w:pPr>
        <w:rPr>
          <w:rFonts w:hint="eastAsia"/>
          <w:color w:val="auto"/>
          <w:lang w:val="en-US" w:eastAsia="zh-CN"/>
        </w:rPr>
      </w:pPr>
      <w:r>
        <w:rPr>
          <w:rFonts w:hint="eastAsia"/>
          <w:color w:val="auto"/>
          <w:lang w:val="en-US" w:eastAsia="zh-CN"/>
        </w:rPr>
        <w:t>1）冷却终端设备温度优化控制</w:t>
      </w:r>
    </w:p>
    <w:p>
      <w:pPr>
        <w:rPr>
          <w:rFonts w:hint="eastAsia"/>
          <w:color w:val="auto"/>
          <w:lang w:val="en-US" w:eastAsia="zh-CN"/>
        </w:rPr>
      </w:pPr>
      <w:r>
        <w:rPr>
          <w:rFonts w:hint="eastAsia"/>
          <w:color w:val="auto"/>
          <w:lang w:val="en-US" w:eastAsia="zh-CN"/>
        </w:rPr>
        <w:t>智慧阀门可以实现每个末端冷却设备的流动参数测量、流量分配与能量调节的一体化控制；根据冷却终端设备的工况变化，智慧阀门的运行模式可进行智能化切换，实现节能控制；利用冷却温度最优控制软件，通过对终端冷却设备的负荷分析，实现输配能效与终端设备能效的持续优化。</w:t>
      </w:r>
    </w:p>
    <w:p>
      <w:pPr>
        <w:rPr>
          <w:rFonts w:hint="eastAsia"/>
          <w:color w:val="auto"/>
          <w:lang w:val="en-US" w:eastAsia="zh-CN"/>
        </w:rPr>
      </w:pPr>
      <w:r>
        <w:rPr>
          <w:rFonts w:hint="eastAsia"/>
          <w:color w:val="auto"/>
          <w:lang w:val="en-US" w:eastAsia="zh-CN"/>
        </w:rPr>
        <w:t>2）管网阀门的自动调节</w:t>
      </w:r>
    </w:p>
    <w:p>
      <w:pPr>
        <w:rPr>
          <w:rFonts w:hint="eastAsia"/>
          <w:color w:val="auto"/>
          <w:lang w:val="en-US" w:eastAsia="zh-CN"/>
        </w:rPr>
      </w:pPr>
      <w:r>
        <w:rPr>
          <w:rFonts w:hint="eastAsia"/>
          <w:color w:val="auto"/>
          <w:lang w:val="en-US" w:eastAsia="zh-CN"/>
        </w:rPr>
        <w:t>对智慧阀门控制的管网进行高级设定，通过阀门开度的合理化，提高输配能效；当管网的冷却水使用量随机变化时，支管对应的水流量也将自动适应变化、达到按需分配；在线计算分析管网各个单元的冷/热负荷，进行输配能效优化分析，实现技术节能、管理节能与行为节能的一体化。</w:t>
      </w:r>
    </w:p>
    <w:p>
      <w:pPr>
        <w:rPr>
          <w:rFonts w:hint="eastAsia"/>
          <w:color w:val="auto"/>
          <w:lang w:val="en-US" w:eastAsia="zh-CN"/>
        </w:rPr>
      </w:pPr>
      <w:r>
        <w:rPr>
          <w:rFonts w:hint="eastAsia"/>
          <w:color w:val="auto"/>
          <w:lang w:val="en-US" w:eastAsia="zh-CN"/>
        </w:rPr>
        <w:t>3）冷却塔优化控制</w:t>
      </w:r>
    </w:p>
    <w:p>
      <w:pPr>
        <w:rPr>
          <w:rFonts w:hint="eastAsia"/>
          <w:color w:val="auto"/>
          <w:lang w:val="en-US" w:eastAsia="zh-CN"/>
        </w:rPr>
      </w:pPr>
      <w:r>
        <w:rPr>
          <w:rFonts w:hint="eastAsia"/>
          <w:color w:val="auto"/>
          <w:lang w:val="en-US" w:eastAsia="zh-CN"/>
        </w:rPr>
        <w:t>根据气候条件、系统所需冷却水流量和各个冷却塔的冷却容量，确定冷却塔的开启台数；通过智慧阀门对各个冷却塔的水流量进行优化分配，使得各个冷却塔的冷却效果整体最佳；利用冷却塔的负荷分析和风机的特性曲线，实现冷却风机的最优节能控制。</w:t>
      </w:r>
    </w:p>
    <w:p>
      <w:pPr>
        <w:rPr>
          <w:rFonts w:hint="eastAsia"/>
          <w:color w:val="auto"/>
          <w:lang w:val="en-US" w:eastAsia="zh-CN"/>
        </w:rPr>
      </w:pPr>
      <w:r>
        <w:rPr>
          <w:rFonts w:hint="eastAsia"/>
          <w:color w:val="auto"/>
          <w:lang w:val="en-US" w:eastAsia="zh-CN"/>
        </w:rPr>
        <w:t>3、通用设备</w:t>
      </w:r>
    </w:p>
    <w:p>
      <w:pPr>
        <w:rPr>
          <w:rFonts w:hint="eastAsia"/>
          <w:color w:val="auto"/>
          <w:lang w:val="en-US" w:eastAsia="zh-CN"/>
        </w:rPr>
      </w:pPr>
      <w:r>
        <w:rPr>
          <w:rFonts w:hint="eastAsia"/>
          <w:color w:val="auto"/>
          <w:lang w:val="en-US" w:eastAsia="zh-CN"/>
        </w:rPr>
        <w:t>（1）制冷系统节能措施</w:t>
      </w:r>
    </w:p>
    <w:p>
      <w:pPr>
        <w:rPr>
          <w:rFonts w:hint="eastAsia"/>
          <w:color w:val="auto"/>
          <w:lang w:val="en-US" w:eastAsia="zh-CN"/>
        </w:rPr>
      </w:pPr>
      <w:r>
        <w:rPr>
          <w:rFonts w:hint="eastAsia"/>
          <w:color w:val="auto"/>
          <w:lang w:val="en-US" w:eastAsia="zh-CN"/>
        </w:rPr>
        <w:t>1）采用节能型冷水机，通过微电脑控制实现机组冷量在40%～100%之间进行无级调节，因此机组的冷量能精确地满足建筑物冷负荷的要求，大大降低了机组的能量损耗。</w:t>
      </w:r>
    </w:p>
    <w:p>
      <w:pPr>
        <w:rPr>
          <w:rFonts w:hint="eastAsia"/>
          <w:color w:val="auto"/>
          <w:lang w:val="en-US" w:eastAsia="zh-CN"/>
        </w:rPr>
      </w:pPr>
      <w:r>
        <w:rPr>
          <w:rFonts w:hint="eastAsia"/>
          <w:color w:val="auto"/>
          <w:lang w:val="en-US" w:eastAsia="zh-CN"/>
        </w:rPr>
        <w:t>2）吸通过对风机实行变频调控，控制新风与回风的使用比例达到合理要求，通过控制风量的变化，增加或减少车间内的换气次数，提高或降低车间温湿度均配置变频调节措施。</w:t>
      </w:r>
    </w:p>
    <w:p>
      <w:pPr>
        <w:rPr>
          <w:rFonts w:hint="eastAsia"/>
          <w:color w:val="auto"/>
          <w:lang w:val="en-US" w:eastAsia="zh-CN"/>
        </w:rPr>
      </w:pPr>
      <w:r>
        <w:rPr>
          <w:rFonts w:hint="eastAsia"/>
          <w:color w:val="auto"/>
          <w:lang w:val="en-US" w:eastAsia="zh-CN"/>
        </w:rPr>
        <w:t>（2）空调机组节能措施</w:t>
      </w:r>
    </w:p>
    <w:p>
      <w:pPr>
        <w:rPr>
          <w:rFonts w:hint="eastAsia"/>
          <w:color w:val="auto"/>
          <w:lang w:val="en-US" w:eastAsia="zh-CN"/>
        </w:rPr>
      </w:pPr>
      <w:r>
        <w:rPr>
          <w:rFonts w:hint="eastAsia"/>
          <w:color w:val="auto"/>
          <w:lang w:val="en-US" w:eastAsia="zh-CN"/>
        </w:rPr>
        <w:t>1）回风热量的利用。通过设置空调机组过滤装置，以去除回风油雾和粉尘。夏季回风中含有余冷和低的焓值，可明显降低送风焓差，节约冷量，减少能耗。在冬季回风中热焓较高，尤其在螺杆挤压间，回风温度约在26～30℃，合理的混合回用以减少加热段的使用能耗。</w:t>
      </w:r>
    </w:p>
    <w:p>
      <w:pPr>
        <w:rPr>
          <w:rFonts w:hint="eastAsia"/>
          <w:color w:val="auto"/>
          <w:lang w:val="en-US" w:eastAsia="zh-CN"/>
        </w:rPr>
      </w:pPr>
      <w:r>
        <w:rPr>
          <w:rFonts w:hint="eastAsia"/>
          <w:color w:val="auto"/>
          <w:lang w:val="en-US" w:eastAsia="zh-CN"/>
        </w:rPr>
        <w:t>2）正确合理利用回风。利用回风必须做到送风系统的风量平衡，并保证10％~20％的新风混入，以改善车间工作环境，保证操作人员身心健康。</w:t>
      </w:r>
    </w:p>
    <w:p>
      <w:pPr>
        <w:rPr>
          <w:rFonts w:hint="eastAsia"/>
          <w:color w:val="auto"/>
          <w:lang w:val="en-US" w:eastAsia="zh-CN"/>
        </w:rPr>
      </w:pPr>
      <w:r>
        <w:rPr>
          <w:rFonts w:hint="eastAsia"/>
          <w:color w:val="auto"/>
          <w:lang w:val="en-US" w:eastAsia="zh-CN"/>
        </w:rPr>
        <w:t>3）优化送回风系统的设计，将大部分回风在用冷间采集。</w:t>
      </w:r>
    </w:p>
    <w:p>
      <w:pPr>
        <w:rPr>
          <w:rFonts w:hint="eastAsia"/>
          <w:color w:val="auto"/>
          <w:lang w:val="en-US" w:eastAsia="zh-CN"/>
        </w:rPr>
      </w:pPr>
      <w:r>
        <w:rPr>
          <w:rFonts w:hint="eastAsia"/>
          <w:color w:val="auto"/>
          <w:lang w:val="en-US" w:eastAsia="zh-CN"/>
        </w:rPr>
        <w:t>4）优化空调室布置。空调室布局尽量靠近用冷间，以缩短送回风管道距离减少管道摩擦阻力损失；冷冻站距空调室附近，水系统管道距离短，可减少水系统管道阻力损失和管道温升的冷量损失。</w:t>
      </w:r>
    </w:p>
    <w:p>
      <w:pPr>
        <w:rPr>
          <w:rFonts w:hint="eastAsia"/>
          <w:color w:val="auto"/>
          <w:lang w:val="en-US" w:eastAsia="zh-CN"/>
        </w:rPr>
      </w:pPr>
      <w:r>
        <w:rPr>
          <w:rFonts w:hint="eastAsia"/>
          <w:color w:val="auto"/>
          <w:lang w:val="en-US" w:eastAsia="zh-CN"/>
        </w:rPr>
        <w:t>5）空调机组中的回风机、环吹送风机、环境送风机、水幕喷淋泵和喷淋水泵等用电设备采用变频调速控制，根据环境风温度、湿度的变化及工艺车间温湿度的要求进行无极调速。</w:t>
      </w:r>
    </w:p>
    <w:p>
      <w:pPr>
        <w:rPr>
          <w:rFonts w:hint="eastAsia"/>
          <w:color w:val="auto"/>
          <w:lang w:val="en-US" w:eastAsia="zh-CN"/>
        </w:rPr>
      </w:pPr>
      <w:r>
        <w:rPr>
          <w:rFonts w:hint="eastAsia"/>
          <w:color w:val="auto"/>
          <w:lang w:val="en-US" w:eastAsia="zh-CN"/>
        </w:rPr>
        <w:t>6）加强生产运行管理节能。合理调整送风参数，送风余压尽可能设定低些，可使送风机在低频率下节能运行。露点温度的设定应根据室外气候变化适当调整，可有效节能。如：在夏季露点温度设定在上限值，在冬季露点温度可设定在下限值，运行能耗会明显降低。</w:t>
      </w:r>
    </w:p>
    <w:p>
      <w:pPr>
        <w:rPr>
          <w:rFonts w:hint="eastAsia"/>
          <w:color w:val="auto"/>
          <w:lang w:val="en-US" w:eastAsia="zh-CN"/>
        </w:rPr>
      </w:pPr>
      <w:r>
        <w:rPr>
          <w:rFonts w:hint="eastAsia"/>
          <w:color w:val="auto"/>
          <w:lang w:val="en-US" w:eastAsia="zh-CN"/>
        </w:rPr>
        <w:t>（3）空压机节能措施</w:t>
      </w:r>
    </w:p>
    <w:p>
      <w:pPr>
        <w:rPr>
          <w:rFonts w:hint="eastAsia"/>
          <w:color w:val="auto"/>
          <w:lang w:val="en-US" w:eastAsia="zh-CN"/>
        </w:rPr>
      </w:pPr>
      <w:r>
        <w:rPr>
          <w:rFonts w:hint="eastAsia"/>
          <w:color w:val="auto"/>
          <w:lang w:val="en-US" w:eastAsia="zh-CN"/>
        </w:rPr>
        <w:t>1）空压机采用变频调速。选用高效节能型空压机，通过变频调速根据系统用气量变化，控制机组运行，在满足系统用气要求的同时达到节能的目的。当用气量增加时，机组通过转速自动的加快来增加产气量，以不使压力下降，确保恒压供气。当用气量减少时，机组通过转速自动减慢来减少产气量，以不使压力上升，并继续恒压供气。</w:t>
      </w:r>
    </w:p>
    <w:p>
      <w:pPr>
        <w:rPr>
          <w:rFonts w:hint="eastAsia"/>
          <w:color w:val="auto"/>
          <w:lang w:val="en-US" w:eastAsia="zh-CN"/>
        </w:rPr>
      </w:pPr>
      <w:r>
        <w:rPr>
          <w:rFonts w:hint="eastAsia"/>
          <w:color w:val="auto"/>
          <w:lang w:val="en-US" w:eastAsia="zh-CN"/>
        </w:rPr>
        <w:t>2）空压机安装余热回收装置。项目或所在地区存在热水等低温余热条件，可考虑对75kW以上空压机采取余热回收措施。根据空压机运行特性，空气过滤后进入压缩机主机，在压缩过程中与喷入的冷却润滑油混合，经压缩后的混合气体从压缩腔排入油气分离罐，从而分别得到高温高压的油、气。这些高温高压的油、气必须送入各自的冷却系统，其中压缩空气经冷却器冷却后，最后送入使用系统；而高温高压的润滑油经冷却器冷却后，返回油路进入下一轮循环。在以上过程中，高温高压的油、气所携带的热量大致相当于空气压缩机功率的1/4，其温度通常在80℃-100℃之间。</w:t>
      </w:r>
    </w:p>
    <w:p>
      <w:pPr>
        <w:rPr>
          <w:rFonts w:hint="eastAsia"/>
          <w:color w:val="auto"/>
          <w:lang w:val="en-US" w:eastAsia="zh-CN"/>
        </w:rPr>
      </w:pPr>
      <w:r>
        <w:rPr>
          <w:rFonts w:hint="eastAsia"/>
          <w:color w:val="auto"/>
          <w:lang w:val="en-US" w:eastAsia="zh-CN"/>
        </w:rPr>
        <w:t>3）空压系统分压供气技术。项目或企业存在使用不同压力等级的压缩空气，可实施分压供气技术，降低供气压力是空压系统节能的一项重要措施，供气压力每增加0.1MPa，空压机能耗增加5%-10%，气动系统增加耗气14%。而且提高供气压力会增加输气管路的泄漏。</w:t>
      </w:r>
    </w:p>
    <w:p>
      <w:pPr>
        <w:rPr>
          <w:rFonts w:hint="eastAsia"/>
          <w:color w:val="auto"/>
          <w:lang w:val="en-US" w:eastAsia="zh-CN"/>
        </w:rPr>
      </w:pPr>
      <w:r>
        <w:rPr>
          <w:rFonts w:hint="eastAsia"/>
          <w:color w:val="auto"/>
          <w:lang w:val="en-US" w:eastAsia="zh-CN"/>
        </w:rPr>
        <w:t>目前分压供气节能改造主要有两种方式：</w:t>
      </w:r>
    </w:p>
    <w:p>
      <w:pPr>
        <w:rPr>
          <w:rFonts w:hint="eastAsia"/>
          <w:color w:val="auto"/>
          <w:lang w:val="en-US" w:eastAsia="zh-CN"/>
        </w:rPr>
      </w:pPr>
      <w:r>
        <w:rPr>
          <w:rFonts w:hint="eastAsia"/>
          <w:color w:val="auto"/>
          <w:lang w:val="en-US" w:eastAsia="zh-CN"/>
        </w:rPr>
        <w:t>①空压机分组供气，即将一个空压机组分成几组，每组根据用气设备的需求提供不同压力的压缩空气。</w:t>
      </w:r>
    </w:p>
    <w:p>
      <w:pPr>
        <w:rPr>
          <w:rFonts w:hint="eastAsia"/>
          <w:color w:val="auto"/>
          <w:lang w:val="en-US" w:eastAsia="zh-CN"/>
        </w:rPr>
      </w:pPr>
      <w:r>
        <w:rPr>
          <w:rFonts w:hint="eastAsia"/>
          <w:color w:val="auto"/>
          <w:lang w:val="en-US" w:eastAsia="zh-CN"/>
        </w:rPr>
        <w:t>②局部增压，即气源提供低压空气，局部采用增压设备进行增压为需要高压空气的设备供气。此方法可以灵活地为局部提供高压空气。在企业现场，一般气动系统需要的高压空气（＞0.7MPa）的量最多占空气总需求量的5%左右，采用局部增压技术是切实可行的。空压系统气动增压，通过改变压缩空气回路，利用活塞对空气进行压缩，达到增压的目的。市场上此类产品较多，比如SMC公司生产的VBA系列的气动增压阀、CKD公司的ABP空气增压器、欧境企业股份有限公司生产的PW系列的气动增压泵等。</w:t>
      </w:r>
    </w:p>
    <w:p>
      <w:pPr>
        <w:rPr>
          <w:rFonts w:hint="eastAsia"/>
          <w:color w:val="auto"/>
          <w:lang w:val="en-US" w:eastAsia="zh-CN"/>
        </w:rPr>
      </w:pPr>
      <w:r>
        <w:rPr>
          <w:rFonts w:hint="eastAsia"/>
          <w:color w:val="auto"/>
          <w:lang w:val="en-US" w:eastAsia="zh-CN"/>
        </w:rPr>
        <w:t>（4）泵的节能控制</w:t>
      </w:r>
    </w:p>
    <w:p>
      <w:pPr>
        <w:rPr>
          <w:rFonts w:hint="eastAsia"/>
          <w:color w:val="auto"/>
          <w:lang w:val="en-US" w:eastAsia="zh-CN"/>
        </w:rPr>
      </w:pPr>
      <w:r>
        <w:rPr>
          <w:rFonts w:hint="eastAsia"/>
          <w:color w:val="auto"/>
          <w:lang w:val="en-US" w:eastAsia="zh-CN"/>
        </w:rPr>
        <w:t>利用智慧阀门解决流量输配的平衡问题以及管网阻尼过大问题，通过变频技术，可降低水泵的输出功率；根据水泵特性曲线，利用智慧阀门结合变频技术，对水泵机组进行优化控制，使水泵运行在高效区。</w:t>
      </w:r>
    </w:p>
    <w:p>
      <w:pPr>
        <w:pStyle w:val="4"/>
        <w:bidi w:val="0"/>
        <w:rPr>
          <w:rFonts w:hint="eastAsia"/>
          <w:color w:val="auto"/>
          <w:lang w:val="en-US" w:eastAsia="zh-CN"/>
        </w:rPr>
      </w:pPr>
      <w:bookmarkStart w:id="56" w:name="_Toc7558"/>
      <w:r>
        <w:rPr>
          <w:rFonts w:hint="eastAsia"/>
          <w:color w:val="auto"/>
          <w:lang w:val="en-US" w:eastAsia="zh-CN"/>
        </w:rPr>
        <w:t>6.1.5 建筑节能</w:t>
      </w:r>
      <w:bookmarkEnd w:id="56"/>
    </w:p>
    <w:p>
      <w:pPr>
        <w:rPr>
          <w:rFonts w:hint="eastAsia"/>
          <w:color w:val="auto"/>
          <w:lang w:val="en-US" w:eastAsia="zh-CN"/>
        </w:rPr>
      </w:pPr>
      <w:r>
        <w:rPr>
          <w:rFonts w:hint="eastAsia"/>
          <w:color w:val="auto"/>
          <w:lang w:val="en-US" w:eastAsia="zh-CN"/>
        </w:rPr>
        <w:t>1、公共建筑</w:t>
      </w:r>
    </w:p>
    <w:p>
      <w:pPr>
        <w:rPr>
          <w:rFonts w:hint="eastAsia"/>
          <w:color w:val="auto"/>
          <w:lang w:val="en-US" w:eastAsia="zh-CN"/>
        </w:rPr>
      </w:pPr>
      <w:r>
        <w:rPr>
          <w:rFonts w:hint="eastAsia"/>
          <w:color w:val="auto"/>
          <w:lang w:val="en-US" w:eastAsia="zh-CN"/>
        </w:rPr>
        <w:t>按照《公共建筑节能设计标准》（GB 50189-2015）的规定，对建筑墙体、屋面、门窗等设计采用节能、保温材料等。建筑在体形上减小体形系数，增强保温效果。门窗空气渗透性能不低于Ⅲ级标准，加强梁柱部位的冷桥保温设计，减少能耗，实现全面节能。同时根据《绿色建筑评价标准》（GB/T50378-2019），园区公共建筑建议按绿色建筑评价指标体系中安全耐久、健康舒适、生活便利、资源节约、环境宜居要求的全部控制项要求，达到绿色建筑一星级标准。</w:t>
      </w:r>
    </w:p>
    <w:p>
      <w:pPr>
        <w:rPr>
          <w:rFonts w:hint="eastAsia"/>
          <w:color w:val="auto"/>
          <w:lang w:val="en-US" w:eastAsia="zh-CN"/>
        </w:rPr>
      </w:pPr>
      <w:r>
        <w:rPr>
          <w:rFonts w:hint="eastAsia"/>
          <w:color w:val="auto"/>
          <w:lang w:val="en-US" w:eastAsia="zh-CN"/>
        </w:rPr>
        <w:t>（1）项目建筑的平面、立面设计应有利于自然通风，理顺工艺流程、区划生产区域布局合理，使之物流便捷，有效降低生产中不必要的能耗和费用。</w:t>
      </w:r>
    </w:p>
    <w:p>
      <w:pPr>
        <w:rPr>
          <w:rFonts w:hint="eastAsia"/>
          <w:color w:val="auto"/>
          <w:lang w:val="en-US" w:eastAsia="zh-CN"/>
        </w:rPr>
      </w:pPr>
      <w:r>
        <w:rPr>
          <w:rFonts w:hint="eastAsia"/>
          <w:color w:val="auto"/>
          <w:lang w:val="en-US" w:eastAsia="zh-CN"/>
        </w:rPr>
        <w:t>（2）室外建筑总平面布置和设计，利用冬季日照并避开冬季主导风向，利用夏季自然通风，建筑的朝向宜采用本地区最佳朝向或接近最佳朝向。</w:t>
      </w:r>
    </w:p>
    <w:p>
      <w:pPr>
        <w:rPr>
          <w:rFonts w:hint="eastAsia"/>
          <w:color w:val="auto"/>
          <w:lang w:val="en-US" w:eastAsia="zh-CN"/>
        </w:rPr>
      </w:pPr>
      <w:r>
        <w:rPr>
          <w:rFonts w:hint="eastAsia"/>
          <w:color w:val="auto"/>
          <w:lang w:val="en-US" w:eastAsia="zh-CN"/>
        </w:rPr>
        <w:t>（3）建筑外窗的可开启面积不应少于外窗所在房间地面面积的8%或外窗面积的45%。</w:t>
      </w:r>
    </w:p>
    <w:p>
      <w:pPr>
        <w:rPr>
          <w:rFonts w:hint="eastAsia"/>
          <w:color w:val="auto"/>
          <w:lang w:val="en-US" w:eastAsia="zh-CN"/>
        </w:rPr>
      </w:pPr>
      <w:r>
        <w:rPr>
          <w:rFonts w:hint="eastAsia"/>
          <w:color w:val="auto"/>
          <w:lang w:val="en-US" w:eastAsia="zh-CN"/>
        </w:rPr>
        <w:t>2、居住建筑</w:t>
      </w:r>
    </w:p>
    <w:p>
      <w:pPr>
        <w:rPr>
          <w:rFonts w:hint="eastAsia"/>
          <w:color w:val="auto"/>
          <w:lang w:val="en-US" w:eastAsia="zh-CN"/>
        </w:rPr>
      </w:pPr>
      <w:r>
        <w:rPr>
          <w:rFonts w:hint="eastAsia"/>
          <w:color w:val="auto"/>
          <w:lang w:val="en-US" w:eastAsia="zh-CN"/>
        </w:rPr>
        <w:t>按照《温和地区居住建筑节能设计标准》（JGJ475-2019）的规定，对建筑墙体、屋面、门窗等设计采用节能、保温材料等。建筑在体形上减小体形系数，增强保温效果。门窗空气渗透性能不低于Ⅲ级标准，加强梁柱部位的冷桥保温设计，减少能耗，实现全面节能。同时根据《绿色建筑评价标准》（GB/T50378-2019），园区居住建筑建议按绿色建筑评价指标体系中安全耐久、健康舒适、生活便利、资源节约、环境宜居要求的全部控制项要求，达到绿色建筑一星级标准。</w:t>
      </w:r>
    </w:p>
    <w:p>
      <w:pPr>
        <w:rPr>
          <w:rFonts w:hint="eastAsia"/>
          <w:color w:val="auto"/>
          <w:lang w:val="en-US" w:eastAsia="zh-CN"/>
        </w:rPr>
      </w:pPr>
      <w:r>
        <w:rPr>
          <w:rFonts w:hint="eastAsia"/>
          <w:color w:val="auto"/>
          <w:lang w:val="en-US" w:eastAsia="zh-CN"/>
        </w:rPr>
        <w:t>（1）项目建筑的平面、立面设计应有利于自然通风，理顺工艺流程、区划生产区域布局合理，使之物流便捷，有效降低生产中不必要的能耗和费用。</w:t>
      </w:r>
    </w:p>
    <w:p>
      <w:pPr>
        <w:rPr>
          <w:rFonts w:hint="eastAsia"/>
          <w:color w:val="auto"/>
          <w:lang w:val="en-US" w:eastAsia="zh-CN"/>
        </w:rPr>
      </w:pPr>
      <w:r>
        <w:rPr>
          <w:rFonts w:hint="eastAsia"/>
          <w:color w:val="auto"/>
          <w:lang w:val="en-US" w:eastAsia="zh-CN"/>
        </w:rPr>
        <w:t>（2）室外建筑总平面布置和设计，利用冬季日照并避开冬季主导风向，利用夏季自然通风，建筑的朝向宜采用本地区最佳朝向或接近最佳朝向。</w:t>
      </w:r>
    </w:p>
    <w:p>
      <w:pPr>
        <w:rPr>
          <w:rFonts w:hint="eastAsia"/>
          <w:color w:val="auto"/>
          <w:lang w:val="en-US" w:eastAsia="zh-CN"/>
        </w:rPr>
      </w:pPr>
      <w:r>
        <w:rPr>
          <w:rFonts w:hint="eastAsia"/>
          <w:color w:val="auto"/>
          <w:lang w:val="en-US" w:eastAsia="zh-CN"/>
        </w:rPr>
        <w:t>（3）同时气密性等级的检测应符合《建筑外门窗气密、水密、抗风压性能分级及检测方法》（GB/T7106-2008）。</w:t>
      </w:r>
    </w:p>
    <w:p>
      <w:pPr>
        <w:rPr>
          <w:rFonts w:hint="eastAsia"/>
          <w:color w:val="auto"/>
          <w:lang w:val="en-US" w:eastAsia="zh-CN"/>
        </w:rPr>
      </w:pPr>
      <w:r>
        <w:rPr>
          <w:rFonts w:hint="eastAsia"/>
          <w:color w:val="auto"/>
          <w:lang w:val="en-US" w:eastAsia="zh-CN"/>
        </w:rPr>
        <w:t>3、工业建筑</w:t>
      </w:r>
    </w:p>
    <w:p>
      <w:pPr>
        <w:rPr>
          <w:rFonts w:hint="eastAsia"/>
          <w:color w:val="auto"/>
          <w:lang w:val="en-US" w:eastAsia="zh-CN"/>
        </w:rPr>
      </w:pPr>
      <w:r>
        <w:rPr>
          <w:rFonts w:hint="eastAsia"/>
          <w:color w:val="auto"/>
          <w:lang w:val="en-US" w:eastAsia="zh-CN"/>
        </w:rPr>
        <w:t>开发区工业厂房应该充分利用自然通风，充分采用自然采光。</w:t>
      </w:r>
    </w:p>
    <w:p>
      <w:pPr>
        <w:pStyle w:val="3"/>
        <w:bidi w:val="0"/>
        <w:rPr>
          <w:rFonts w:hint="eastAsia"/>
          <w:color w:val="auto"/>
          <w:lang w:val="en-US" w:eastAsia="zh-CN"/>
        </w:rPr>
      </w:pPr>
      <w:bookmarkStart w:id="57" w:name="_Toc14933"/>
      <w:r>
        <w:rPr>
          <w:rFonts w:hint="eastAsia"/>
          <w:color w:val="auto"/>
          <w:lang w:val="en-US" w:eastAsia="zh-CN"/>
        </w:rPr>
        <w:t>6.2 区域各行业节能管理措施</w:t>
      </w:r>
      <w:bookmarkEnd w:id="57"/>
    </w:p>
    <w:p>
      <w:pPr>
        <w:pStyle w:val="4"/>
        <w:bidi w:val="0"/>
        <w:rPr>
          <w:rFonts w:hint="eastAsia"/>
          <w:color w:val="auto"/>
          <w:lang w:val="en-US" w:eastAsia="zh-CN"/>
        </w:rPr>
      </w:pPr>
      <w:bookmarkStart w:id="58" w:name="_Toc28285"/>
      <w:r>
        <w:rPr>
          <w:rFonts w:hint="eastAsia"/>
          <w:color w:val="auto"/>
          <w:lang w:val="en-US" w:eastAsia="zh-CN"/>
        </w:rPr>
        <w:t>6.2.1 能源管理体系</w:t>
      </w:r>
      <w:bookmarkEnd w:id="58"/>
    </w:p>
    <w:p>
      <w:pPr>
        <w:rPr>
          <w:rFonts w:hint="eastAsia"/>
          <w:color w:val="auto"/>
          <w:lang w:val="en-US" w:eastAsia="zh-CN"/>
        </w:rPr>
      </w:pPr>
      <w:r>
        <w:rPr>
          <w:rFonts w:hint="eastAsia"/>
          <w:color w:val="auto"/>
          <w:lang w:val="en-US" w:eastAsia="zh-CN"/>
        </w:rPr>
        <w:t>能源管理体系是从体系的全过程出发，遵循系统管理原理，通过实施一套完整的标准、规范，在企业内建立起一个完整有效的、形成文件的能源管理体系，注重建立和实施过程的控制，使企业的活动、过程及其要素不断优化，通过例行节能监测、能源审计、能效对标、内部审核、组织能耗计量与测试、组织能量平衡统计、管理评审、自我评价、节能技改、节能考核等措施，不断提高能源管理体系持续改进的有效性，实现能源管理方针和承诺并达到预期的能源消耗或使用目标。核心内容有四个方面：</w:t>
      </w:r>
    </w:p>
    <w:p>
      <w:pPr>
        <w:rPr>
          <w:rFonts w:hint="eastAsia"/>
          <w:color w:val="auto"/>
          <w:lang w:val="en-US" w:eastAsia="zh-CN"/>
        </w:rPr>
      </w:pPr>
      <w:r>
        <w:rPr>
          <w:rFonts w:hint="eastAsia"/>
          <w:color w:val="auto"/>
          <w:lang w:val="en-US" w:eastAsia="zh-CN"/>
        </w:rPr>
        <w:t>全过程控制思想，应用系统理论和过程方法，以低成本、无成本的管理措施，将组织的能源管理工作与法律法规、政策、标准及其他要求进行有机结合，针对组织用能全过程（能源采购、贮存以及使用等）和生产运营全过程（生产运营、管理运用和生活运营），对组织的能源因素进行识别、控制和管理，实现降低能源消耗、提高能源利用效率的目的。</w:t>
      </w:r>
    </w:p>
    <w:p>
      <w:pPr>
        <w:rPr>
          <w:rFonts w:hint="eastAsia"/>
          <w:color w:val="auto"/>
          <w:lang w:val="en-US" w:eastAsia="zh-CN"/>
        </w:rPr>
      </w:pPr>
      <w:r>
        <w:rPr>
          <w:rFonts w:hint="eastAsia"/>
          <w:color w:val="auto"/>
          <w:lang w:val="en-US" w:eastAsia="zh-CN"/>
        </w:rPr>
        <w:t>运用PDCA理论，充分运用PDCA理论，借鉴和使用先进的节能技术、方法和节能实践，不断提高组织的能源绩效，是能源管理体系的主要要求内容之一。</w:t>
      </w:r>
    </w:p>
    <w:p>
      <w:pPr>
        <w:rPr>
          <w:rFonts w:hint="eastAsia"/>
          <w:color w:val="auto"/>
          <w:lang w:val="en-US" w:eastAsia="zh-CN"/>
        </w:rPr>
      </w:pPr>
      <w:r>
        <w:rPr>
          <w:rFonts w:hint="eastAsia"/>
          <w:color w:val="auto"/>
          <w:lang w:val="en-US" w:eastAsia="zh-CN"/>
        </w:rPr>
        <w:t>充分结合能源管理的特点，将能源管理的特点充分体现在能源管理体系的各项具体要求中，努力与现行的能源管理系方法，如能源诊断等技术相结合。</w:t>
      </w:r>
    </w:p>
    <w:p>
      <w:pPr>
        <w:rPr>
          <w:rFonts w:hint="eastAsia"/>
          <w:color w:val="auto"/>
          <w:lang w:val="en-US" w:eastAsia="zh-CN"/>
        </w:rPr>
      </w:pPr>
      <w:r>
        <w:rPr>
          <w:rFonts w:hint="eastAsia"/>
          <w:color w:val="auto"/>
          <w:lang w:val="en-US" w:eastAsia="zh-CN"/>
        </w:rPr>
        <w:t>充分借鉴现有的管理体系标准，遵循管理体系标准的国际惯例、发展趋势和一般要求，借鉴ISO9000、ISO14000等成熟国际管理体系标准的理念和方法，在标准构架、相关表述和要求方面与国际通行的管理模式相协调。</w:t>
      </w:r>
    </w:p>
    <w:p>
      <w:pPr>
        <w:rPr>
          <w:rFonts w:hint="eastAsia"/>
          <w:color w:val="auto"/>
          <w:lang w:val="en-US" w:eastAsia="zh-CN"/>
        </w:rPr>
      </w:pPr>
      <w:r>
        <w:rPr>
          <w:rFonts w:hint="eastAsia"/>
          <w:color w:val="auto"/>
          <w:lang w:val="en-US" w:eastAsia="zh-CN"/>
        </w:rPr>
        <w:t>加强能源管理体系建设是建立节能长效机制、实现“十四五”节能目标的重要抓手。开发区内重点用能单位通过建立能源管理体系，能够将现有能源管理手段进行整合、提升，并逐步形成节能工作持续改进、能源消耗持续降低、能源效率持续提高的良性机制。在企业能源成本降低的同时，也实现了企业经济效益的最大化，极大地减少了废烟气、废水等废弃物的排放量，最大限度的实现了企业的社会效益，</w:t>
      </w:r>
    </w:p>
    <w:p>
      <w:pPr>
        <w:pStyle w:val="4"/>
        <w:bidi w:val="0"/>
        <w:rPr>
          <w:rFonts w:hint="eastAsia"/>
          <w:color w:val="auto"/>
          <w:lang w:val="en-US" w:eastAsia="zh-CN"/>
        </w:rPr>
      </w:pPr>
      <w:bookmarkStart w:id="59" w:name="_Toc32696"/>
      <w:r>
        <w:rPr>
          <w:rFonts w:hint="eastAsia"/>
          <w:color w:val="auto"/>
          <w:lang w:val="en-US" w:eastAsia="zh-CN"/>
        </w:rPr>
        <w:t>6.2.2 信息化能源管理系统</w:t>
      </w:r>
      <w:bookmarkEnd w:id="59"/>
    </w:p>
    <w:p>
      <w:pPr>
        <w:rPr>
          <w:rFonts w:hint="eastAsia"/>
          <w:color w:val="auto"/>
          <w:lang w:val="en-US" w:eastAsia="zh-CN"/>
        </w:rPr>
      </w:pPr>
      <w:r>
        <w:rPr>
          <w:rFonts w:hint="eastAsia"/>
          <w:color w:val="auto"/>
          <w:lang w:val="en-US" w:eastAsia="zh-CN"/>
        </w:rPr>
        <w:t>企业信息化能源管理系统是依托计算机网络技术、通信技术、计量控制技术等信息化技术，实现能源管理、能源调度、能源计量的数字化、网络化和空间可视化，完善能源基础数据体系，为重点能耗企业建立一套科学完善的能源利用监督、管理、评价体系，创新能源管理模式，系统的总目标是：采用智能技术组建数据库、构建智能化的能源管理信息系统，实现对重点能耗企业能源利用状况进行实时、准确的动态监管，以现代技术手段加强节能管理，加大节能监管力度，提企业节能工作的管理水平。</w:t>
      </w:r>
    </w:p>
    <w:p>
      <w:pPr>
        <w:rPr>
          <w:rFonts w:hint="eastAsia"/>
          <w:color w:val="auto"/>
          <w:lang w:val="en-US" w:eastAsia="zh-CN"/>
        </w:rPr>
      </w:pPr>
      <w:r>
        <w:rPr>
          <w:rFonts w:hint="eastAsia"/>
          <w:color w:val="auto"/>
          <w:lang w:val="en-US" w:eastAsia="zh-CN"/>
        </w:rPr>
        <w:t>通过该系统的实施，能够达到以下几个目的：</w:t>
      </w:r>
    </w:p>
    <w:p>
      <w:pPr>
        <w:rPr>
          <w:rFonts w:hint="eastAsia"/>
          <w:color w:val="auto"/>
          <w:lang w:val="en-US" w:eastAsia="zh-CN"/>
        </w:rPr>
      </w:pPr>
      <w:r>
        <w:rPr>
          <w:rFonts w:hint="eastAsia"/>
          <w:color w:val="auto"/>
          <w:lang w:val="en-US" w:eastAsia="zh-CN"/>
        </w:rPr>
        <w:t>1、实现两个层次的服务，即一方面为企业领导提供直观、简明、快捷的数据信息查询和决策支持服务；另一方面是为相关管理部门实现企业能源消耗情况的动态数据和信息共享服务。</w:t>
      </w:r>
    </w:p>
    <w:p>
      <w:pPr>
        <w:rPr>
          <w:rFonts w:hint="eastAsia"/>
          <w:color w:val="auto"/>
          <w:lang w:val="en-US" w:eastAsia="zh-CN"/>
        </w:rPr>
      </w:pPr>
      <w:r>
        <w:rPr>
          <w:rFonts w:hint="eastAsia"/>
          <w:color w:val="auto"/>
          <w:lang w:val="en-US" w:eastAsia="zh-CN"/>
        </w:rPr>
        <w:t>2、系统的运行能够充分利用现代网络技术和数据库，通过与企业生产网络平台的对接，实现信息快速传递、共享、管理和应用。</w:t>
      </w:r>
    </w:p>
    <w:p>
      <w:pPr>
        <w:rPr>
          <w:rFonts w:hint="eastAsia"/>
          <w:color w:val="auto"/>
          <w:lang w:val="en-US" w:eastAsia="zh-CN"/>
        </w:rPr>
      </w:pPr>
      <w:r>
        <w:rPr>
          <w:rFonts w:hint="eastAsia"/>
          <w:color w:val="auto"/>
          <w:lang w:val="en-US" w:eastAsia="zh-CN"/>
        </w:rPr>
        <w:t>3、利用数学模型、预测和预警、数据仓库和数据挖掘等理论方法和技术对有关数据进行深入的加工处理及分析，以提高监控数据的应用水平。</w:t>
      </w:r>
    </w:p>
    <w:p>
      <w:pPr>
        <w:rPr>
          <w:rFonts w:hint="eastAsia"/>
          <w:color w:val="auto"/>
          <w:lang w:val="en-US" w:eastAsia="zh-CN"/>
        </w:rPr>
      </w:pPr>
      <w:r>
        <w:rPr>
          <w:rFonts w:hint="eastAsia"/>
          <w:color w:val="auto"/>
          <w:lang w:val="en-US" w:eastAsia="zh-CN"/>
        </w:rPr>
        <w:t>能源管理系统建设主要内容有：</w:t>
      </w:r>
    </w:p>
    <w:p>
      <w:pPr>
        <w:rPr>
          <w:rFonts w:hint="eastAsia"/>
          <w:color w:val="auto"/>
          <w:lang w:val="en-US" w:eastAsia="zh-CN"/>
        </w:rPr>
      </w:pPr>
      <w:r>
        <w:rPr>
          <w:rFonts w:hint="eastAsia"/>
          <w:color w:val="auto"/>
          <w:lang w:val="en-US" w:eastAsia="zh-CN"/>
        </w:rPr>
        <w:t>（1）基础数据管理。开展基础能源数据、能量数据的计算，为企业开展能源分析等能源管理工作提供数据基础。</w:t>
      </w:r>
    </w:p>
    <w:p>
      <w:pPr>
        <w:rPr>
          <w:rFonts w:hint="eastAsia"/>
          <w:color w:val="auto"/>
          <w:lang w:val="en-US" w:eastAsia="zh-CN"/>
        </w:rPr>
      </w:pPr>
      <w:r>
        <w:rPr>
          <w:rFonts w:hint="eastAsia"/>
          <w:color w:val="auto"/>
          <w:lang w:val="en-US" w:eastAsia="zh-CN"/>
        </w:rPr>
        <w:t>（2）能源监控管理。通过对生产现场能源数据和能源设备进行监测，并对采集的数据进行计算、统计，构建能源监控系统。</w:t>
      </w:r>
    </w:p>
    <w:p>
      <w:pPr>
        <w:rPr>
          <w:rFonts w:hint="eastAsia"/>
          <w:color w:val="auto"/>
          <w:lang w:val="en-US" w:eastAsia="zh-CN"/>
        </w:rPr>
      </w:pPr>
      <w:r>
        <w:rPr>
          <w:rFonts w:hint="eastAsia"/>
          <w:color w:val="auto"/>
          <w:lang w:val="en-US" w:eastAsia="zh-CN"/>
        </w:rPr>
        <w:t>（3）能源计划统计。通过准确、及时、系统地统计生产的能源购进、贮存、加工、转换、输送分配、使用消耗等环节的基础数据，如实反映生产过程能源系统流程的数量关系和平衡状况，形成能源形成、能源使用情况及变化状况，实现生产过程中各环节能源计量统计信息的汇总和计算分析。</w:t>
      </w:r>
    </w:p>
    <w:p>
      <w:pPr>
        <w:rPr>
          <w:rFonts w:hint="eastAsia"/>
          <w:color w:val="auto"/>
          <w:lang w:val="en-US" w:eastAsia="zh-CN"/>
        </w:rPr>
      </w:pPr>
      <w:r>
        <w:rPr>
          <w:rFonts w:hint="eastAsia"/>
          <w:color w:val="auto"/>
          <w:lang w:val="en-US" w:eastAsia="zh-CN"/>
        </w:rPr>
        <w:t>（4）用能对象分析。针对生产流程中的生产设备、装置或工序，通过能量数据，计算用能对象一定周期内的用能指标参数，对用能对象进行深层用能分析，为生产关键装置节能措施提供数据支持。</w:t>
      </w:r>
    </w:p>
    <w:p>
      <w:pPr>
        <w:rPr>
          <w:rFonts w:hint="eastAsia"/>
          <w:color w:val="auto"/>
          <w:lang w:val="en-US" w:eastAsia="zh-CN"/>
        </w:rPr>
      </w:pPr>
      <w:r>
        <w:rPr>
          <w:rFonts w:hint="eastAsia"/>
          <w:color w:val="auto"/>
          <w:lang w:val="en-US" w:eastAsia="zh-CN"/>
        </w:rPr>
        <w:t>（5）设备能效分析。针对重点能源设备进行运行管理，分析生产过程的电力设备、工艺设备、批量设备等特点，建立设备能效模型，输入参数进行计算，得出对象的输出参数和运行状态。</w:t>
      </w:r>
    </w:p>
    <w:p>
      <w:pPr>
        <w:rPr>
          <w:rFonts w:hint="eastAsia"/>
          <w:color w:val="auto"/>
          <w:lang w:val="en-US" w:eastAsia="zh-CN"/>
        </w:rPr>
      </w:pPr>
      <w:r>
        <w:rPr>
          <w:rFonts w:hint="eastAsia"/>
          <w:color w:val="auto"/>
          <w:lang w:val="en-US" w:eastAsia="zh-CN"/>
        </w:rPr>
        <w:t>4、生产成本数字化管理系统</w:t>
      </w:r>
    </w:p>
    <w:p>
      <w:pPr>
        <w:rPr>
          <w:rFonts w:hint="eastAsia"/>
          <w:color w:val="auto"/>
          <w:lang w:val="en-US" w:eastAsia="zh-CN"/>
        </w:rPr>
      </w:pPr>
      <w:r>
        <w:rPr>
          <w:rFonts w:hint="eastAsia"/>
          <w:color w:val="auto"/>
          <w:lang w:val="en-US" w:eastAsia="zh-CN"/>
        </w:rPr>
        <w:t>该系统由能耗在线监测系统及专业生产管理软件构成，并可与企业现有的ERP系统集成，对企业内所有装备的水、电、汽、气用量进行自动采集，并结合信息化管理软件，最终实现企业内部的生产数字化管理和生产成本精细化管理。</w:t>
      </w:r>
    </w:p>
    <w:p>
      <w:pPr>
        <w:pStyle w:val="4"/>
        <w:bidi w:val="0"/>
        <w:rPr>
          <w:rFonts w:hint="eastAsia"/>
          <w:color w:val="auto"/>
          <w:lang w:val="en-US" w:eastAsia="zh-CN"/>
        </w:rPr>
      </w:pPr>
      <w:bookmarkStart w:id="60" w:name="_Toc6815"/>
      <w:r>
        <w:rPr>
          <w:rFonts w:hint="eastAsia"/>
          <w:color w:val="auto"/>
          <w:lang w:val="en-US" w:eastAsia="zh-CN"/>
        </w:rPr>
        <w:t>6.2.3 能源计量管理制度</w:t>
      </w:r>
      <w:bookmarkEnd w:id="60"/>
    </w:p>
    <w:p>
      <w:pPr>
        <w:rPr>
          <w:rFonts w:hint="eastAsia"/>
          <w:color w:val="auto"/>
          <w:lang w:val="en-US" w:eastAsia="zh-CN"/>
        </w:rPr>
      </w:pPr>
      <w:r>
        <w:rPr>
          <w:rFonts w:hint="eastAsia"/>
          <w:color w:val="auto"/>
          <w:lang w:val="en-US" w:eastAsia="zh-CN"/>
        </w:rPr>
        <w:t>1、建立能源计量系统，实行车间、重点工序设备二级计量的管理，配备相应的仪表和设备，建立能源计量器具台帐，计量器具档案。</w:t>
      </w:r>
    </w:p>
    <w:p>
      <w:pPr>
        <w:rPr>
          <w:rFonts w:hint="eastAsia"/>
          <w:color w:val="auto"/>
          <w:lang w:val="en-US" w:eastAsia="zh-CN"/>
        </w:rPr>
      </w:pPr>
      <w:r>
        <w:rPr>
          <w:rFonts w:hint="eastAsia"/>
          <w:color w:val="auto"/>
          <w:lang w:val="en-US" w:eastAsia="zh-CN"/>
        </w:rPr>
        <w:t>2、建立能源统计工作制度，对设计能源购入贮存、加工转换、输送分配和最终使用四个环节设置分类统计报表，细化到主要生产、辅助生产、采暖（制冷）、照明等工序（艺）。</w:t>
      </w:r>
    </w:p>
    <w:p>
      <w:pPr>
        <w:rPr>
          <w:rFonts w:hint="eastAsia"/>
          <w:color w:val="auto"/>
          <w:lang w:val="en-US" w:eastAsia="zh-CN"/>
        </w:rPr>
      </w:pPr>
      <w:r>
        <w:rPr>
          <w:rFonts w:hint="eastAsia"/>
          <w:color w:val="auto"/>
          <w:lang w:val="en-US" w:eastAsia="zh-CN"/>
        </w:rPr>
        <w:t>3、在进出各装置的原料及公用工程管线上配置计量仪表，以便考核奖惩，促进节能。</w:t>
      </w:r>
    </w:p>
    <w:p>
      <w:pPr>
        <w:rPr>
          <w:rFonts w:hint="eastAsia"/>
          <w:color w:val="auto"/>
          <w:lang w:val="en-US" w:eastAsia="zh-CN"/>
        </w:rPr>
      </w:pPr>
      <w:r>
        <w:rPr>
          <w:rFonts w:hint="eastAsia"/>
          <w:color w:val="auto"/>
          <w:lang w:val="en-US" w:eastAsia="zh-CN"/>
        </w:rPr>
        <w:t>4、为提高装置自动化控制水平，减轻劳动强度，使自动调节系统对工艺参数整定方便，装置易于投运，其控制策略在物料平衡的前提下，实现温度、压力、流量、物料配比、液位及分析检测等的控制。</w:t>
      </w:r>
    </w:p>
    <w:p>
      <w:pPr>
        <w:rPr>
          <w:rFonts w:hint="eastAsia"/>
          <w:color w:val="auto"/>
          <w:lang w:val="en-US" w:eastAsia="zh-CN"/>
        </w:rPr>
      </w:pPr>
      <w:r>
        <w:rPr>
          <w:rFonts w:hint="eastAsia"/>
          <w:color w:val="auto"/>
          <w:lang w:val="en-US" w:eastAsia="zh-CN"/>
        </w:rPr>
        <w:t>5、能源计量器具管理</w:t>
      </w:r>
    </w:p>
    <w:p>
      <w:pPr>
        <w:rPr>
          <w:rFonts w:hint="eastAsia"/>
          <w:color w:val="auto"/>
          <w:lang w:val="en-US" w:eastAsia="zh-CN"/>
        </w:rPr>
      </w:pPr>
      <w:r>
        <w:rPr>
          <w:rFonts w:hint="eastAsia"/>
          <w:color w:val="auto"/>
          <w:lang w:val="en-US" w:eastAsia="zh-CN"/>
        </w:rPr>
        <w:t>（1）生产线应按现行国家标准《用能单位能源计量器具配备和管理通则》（GB17167-2006）的要求配备能源计量器具，并应建立能源计量管理制度：生产线宜设置能耗计量系统，并应通过安装分类和分项能耗计量装置，采用远程传输等手段实时采集能耗数据。</w:t>
      </w:r>
    </w:p>
    <w:p>
      <w:pPr>
        <w:rPr>
          <w:rFonts w:hint="eastAsia"/>
          <w:color w:val="auto"/>
          <w:lang w:val="en-US" w:eastAsia="zh-CN"/>
        </w:rPr>
      </w:pPr>
      <w:r>
        <w:rPr>
          <w:rFonts w:hint="eastAsia"/>
          <w:color w:val="auto"/>
          <w:lang w:val="en-US" w:eastAsia="zh-CN"/>
        </w:rPr>
        <w:t>（2）生产线应按工艺管理要求分系统设置有功电能计量装置。能。</w:t>
      </w:r>
    </w:p>
    <w:p>
      <w:pPr>
        <w:rPr>
          <w:rFonts w:hint="eastAsia"/>
          <w:color w:val="auto"/>
          <w:lang w:val="en-US" w:eastAsia="zh-CN"/>
        </w:rPr>
      </w:pPr>
      <w:r>
        <w:rPr>
          <w:rFonts w:hint="eastAsia"/>
          <w:color w:val="auto"/>
          <w:lang w:val="en-US" w:eastAsia="zh-CN"/>
        </w:rPr>
        <w:t>6、能源计量器具的使用维护</w:t>
      </w:r>
    </w:p>
    <w:p>
      <w:pPr>
        <w:rPr>
          <w:rFonts w:hint="eastAsia"/>
          <w:color w:val="auto"/>
          <w:lang w:val="en-US" w:eastAsia="zh-CN"/>
        </w:rPr>
      </w:pPr>
      <w:r>
        <w:rPr>
          <w:rFonts w:hint="eastAsia"/>
          <w:color w:val="auto"/>
          <w:lang w:val="en-US" w:eastAsia="zh-CN"/>
        </w:rPr>
        <w:t>（1）能源计量器具必须在检验周期内使用，有合格证并铅封；</w:t>
      </w:r>
    </w:p>
    <w:p>
      <w:pPr>
        <w:rPr>
          <w:rFonts w:hint="eastAsia"/>
          <w:color w:val="auto"/>
          <w:lang w:val="en-US" w:eastAsia="zh-CN"/>
        </w:rPr>
      </w:pPr>
      <w:r>
        <w:rPr>
          <w:rFonts w:hint="eastAsia"/>
          <w:color w:val="auto"/>
          <w:lang w:val="en-US" w:eastAsia="zh-CN"/>
        </w:rPr>
        <w:t>（2）凡属强检的计量器具由计量室定期送出强检，企业内检验的设备应做好定期周检，作好记录；</w:t>
      </w:r>
    </w:p>
    <w:p>
      <w:pPr>
        <w:rPr>
          <w:rFonts w:hint="eastAsia"/>
          <w:color w:val="auto"/>
          <w:lang w:val="en-US" w:eastAsia="zh-CN"/>
        </w:rPr>
      </w:pPr>
      <w:r>
        <w:rPr>
          <w:rFonts w:hint="eastAsia"/>
          <w:color w:val="auto"/>
          <w:lang w:val="en-US" w:eastAsia="zh-CN"/>
        </w:rPr>
        <w:t>（3）定期维护能源计量器具，保证其准确灵敏，使用正常。</w:t>
      </w:r>
    </w:p>
    <w:p>
      <w:pPr>
        <w:rPr>
          <w:rFonts w:hint="eastAsia"/>
          <w:color w:val="auto"/>
          <w:lang w:val="en-US" w:eastAsia="zh-CN"/>
        </w:rPr>
      </w:pPr>
    </w:p>
    <w:p>
      <w:pPr>
        <w:rPr>
          <w:rFonts w:hint="eastAsia"/>
          <w:color w:val="auto"/>
          <w:lang w:val="en-US" w:eastAsia="zh-CN"/>
        </w:rPr>
      </w:pPr>
    </w:p>
    <w:p>
      <w:pPr>
        <w:pStyle w:val="4"/>
        <w:bidi w:val="0"/>
        <w:rPr>
          <w:rFonts w:hint="eastAsia"/>
          <w:color w:val="auto"/>
          <w:lang w:val="en-US" w:eastAsia="zh-CN"/>
        </w:rPr>
      </w:pPr>
      <w:bookmarkStart w:id="61" w:name="_Toc5902"/>
      <w:r>
        <w:rPr>
          <w:rFonts w:hint="eastAsia"/>
          <w:color w:val="auto"/>
          <w:lang w:val="en-US" w:eastAsia="zh-CN"/>
        </w:rPr>
        <w:t>6.3 区域节能工程与用能结构优化</w:t>
      </w:r>
      <w:bookmarkEnd w:id="61"/>
    </w:p>
    <w:p>
      <w:pPr>
        <w:bidi w:val="0"/>
        <w:rPr>
          <w:rFonts w:hint="eastAsia"/>
          <w:color w:val="auto"/>
          <w:lang w:val="en-US" w:eastAsia="zh-CN"/>
        </w:rPr>
      </w:pPr>
      <w:r>
        <w:rPr>
          <w:rFonts w:hint="eastAsia"/>
          <w:color w:val="auto"/>
          <w:lang w:val="en-US" w:eastAsia="zh-CN"/>
        </w:rPr>
        <w:t>近年来，我国大力推进工业园区建设和产业集聚发展，工业园区、产业聚集区的用能快速增长，特别是电和热，园区集中供热、热电联产、余热利用等是进一步提高能源利用效率，减少大气污染物排放的有效方式。</w:t>
      </w: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rPr>
          <w:rFonts w:hint="eastAsia"/>
          <w:color w:val="auto"/>
          <w:lang w:val="en-US" w:eastAsia="zh-CN"/>
        </w:rPr>
      </w:pPr>
      <w:r>
        <w:rPr>
          <w:rFonts w:hint="eastAsia"/>
          <w:color w:val="auto"/>
          <w:lang w:val="en-US" w:eastAsia="zh-CN"/>
        </w:rPr>
        <w:br w:type="page"/>
      </w:r>
    </w:p>
    <w:p>
      <w:pPr>
        <w:pStyle w:val="2"/>
        <w:bidi w:val="0"/>
        <w:rPr>
          <w:rFonts w:hint="eastAsia"/>
          <w:color w:val="auto"/>
          <w:lang w:val="en-US" w:eastAsia="zh-CN"/>
        </w:rPr>
      </w:pPr>
      <w:bookmarkStart w:id="62" w:name="_Toc20360"/>
      <w:r>
        <w:rPr>
          <w:rFonts w:hint="eastAsia"/>
          <w:color w:val="auto"/>
          <w:lang w:val="en-US" w:eastAsia="zh-CN"/>
        </w:rPr>
        <w:t>第七章 结论与建议</w:t>
      </w:r>
      <w:bookmarkEnd w:id="62"/>
    </w:p>
    <w:p>
      <w:pPr>
        <w:pStyle w:val="3"/>
        <w:bidi w:val="0"/>
        <w:rPr>
          <w:rFonts w:hint="eastAsia"/>
          <w:color w:val="auto"/>
          <w:lang w:val="en-US" w:eastAsia="zh-CN"/>
        </w:rPr>
      </w:pPr>
      <w:bookmarkStart w:id="63" w:name="_Toc7483"/>
      <w:r>
        <w:rPr>
          <w:rFonts w:hint="eastAsia"/>
          <w:color w:val="auto"/>
          <w:lang w:val="en-US" w:eastAsia="zh-CN"/>
        </w:rPr>
        <w:t>7.1 结论</w:t>
      </w:r>
      <w:bookmarkEnd w:id="63"/>
    </w:p>
    <w:p>
      <w:pPr>
        <w:rPr>
          <w:rFonts w:hint="eastAsia"/>
          <w:color w:val="auto"/>
          <w:lang w:val="en-US" w:eastAsia="zh-CN"/>
        </w:rPr>
      </w:pPr>
      <w:r>
        <w:rPr>
          <w:rFonts w:hint="eastAsia"/>
          <w:color w:val="auto"/>
          <w:lang w:val="en-US" w:eastAsia="zh-CN"/>
        </w:rPr>
        <w:t>通过贵州开阳经济开发区（开阳县工业园区）开展区域节能评估工作，重点分析区域用能现状，提出区域能源消费总量及工业增加值综合能耗“双控”目标，明确与开发区产业规划相适应的各项节能措施和能效标准，编制区域用能企业负面清单，以审查通过的区域节能报告取代负面清单以外的项目节能评估文件，达到简化行政审批手续、服务企业和落实节能降耗目标任务的目的。</w:t>
      </w:r>
    </w:p>
    <w:p>
      <w:pPr>
        <w:rPr>
          <w:rFonts w:hint="eastAsia"/>
          <w:color w:val="auto"/>
          <w:lang w:val="en-US" w:eastAsia="zh-CN"/>
        </w:rPr>
      </w:pPr>
      <w:r>
        <w:rPr>
          <w:rFonts w:hint="eastAsia"/>
          <w:color w:val="auto"/>
          <w:lang w:val="en-US" w:eastAsia="zh-CN"/>
        </w:rPr>
        <w:t>贵州开阳经济开发区（开阳县工业园区）区域能评分析结论如下：</w:t>
      </w:r>
    </w:p>
    <w:p>
      <w:pPr>
        <w:rPr>
          <w:rFonts w:hint="eastAsia"/>
          <w:color w:val="auto"/>
          <w:lang w:val="en-US" w:eastAsia="zh-CN"/>
        </w:rPr>
      </w:pPr>
      <w:r>
        <w:rPr>
          <w:rFonts w:hint="eastAsia"/>
          <w:color w:val="auto"/>
          <w:lang w:val="en-US" w:eastAsia="zh-CN"/>
        </w:rPr>
        <w:t>1、根据贵阳市节能主管部门分解下达的“双控”目标要求，结合贵州开阳经济开发区（开阳县工业园区）行业用能特点，确定了贵州开阳经济开发区（开阳县工业园区）2025年末能源消费总量控制目标为446.65万吨标准煤（等价值），工业增加值能耗控制在1.5358tce/万元以内。</w:t>
      </w:r>
    </w:p>
    <w:p>
      <w:pPr>
        <w:rPr>
          <w:rFonts w:hint="eastAsia"/>
          <w:color w:val="auto"/>
          <w:lang w:val="en-US" w:eastAsia="zh-CN"/>
        </w:rPr>
      </w:pPr>
      <w:r>
        <w:rPr>
          <w:rFonts w:hint="eastAsia"/>
          <w:color w:val="auto"/>
          <w:lang w:val="en-US" w:eastAsia="zh-CN"/>
        </w:rPr>
        <w:t>2、制定区域能评负面清单：确定五大类负面清单项目，具体见下表。</w:t>
      </w:r>
    </w:p>
    <w:p>
      <w:pPr>
        <w:jc w:val="center"/>
        <w:rPr>
          <w:rFonts w:hint="eastAsia"/>
          <w:color w:val="auto"/>
          <w:lang w:val="en-US" w:eastAsia="zh-CN"/>
        </w:rPr>
      </w:pPr>
      <w:r>
        <w:rPr>
          <w:rFonts w:hint="eastAsia"/>
          <w:color w:val="auto"/>
          <w:lang w:val="en-US" w:eastAsia="zh-CN"/>
        </w:rPr>
        <w:t>表7-1 区域能评负面清单汇总</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89"/>
        <w:gridCol w:w="72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序号</w:t>
            </w:r>
          </w:p>
        </w:tc>
        <w:tc>
          <w:tcPr>
            <w:tcW w:w="7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类型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第一类</w:t>
            </w:r>
          </w:p>
        </w:tc>
        <w:tc>
          <w:tcPr>
            <w:tcW w:w="7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六大高能耗行业：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p>
        </w:tc>
        <w:tc>
          <w:tcPr>
            <w:tcW w:w="7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left"/>
              <w:textAlignment w:val="center"/>
              <w:rPr>
                <w:rFonts w:hint="default"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1</w:t>
            </w:r>
            <w:r>
              <w:rPr>
                <w:rFonts w:hint="eastAsia" w:ascii="仿宋" w:hAnsi="仿宋" w:eastAsia="仿宋" w:cs="仿宋"/>
                <w:i w:val="0"/>
                <w:iCs w:val="0"/>
                <w:color w:val="auto"/>
                <w:kern w:val="0"/>
                <w:sz w:val="21"/>
                <w:szCs w:val="21"/>
                <w:u w:val="none"/>
                <w:lang w:val="en-US" w:eastAsia="zh-CN" w:bidi="ar"/>
              </w:rPr>
              <w:t>、石油加工、炼焦及核燃料加工业；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p>
        </w:tc>
        <w:tc>
          <w:tcPr>
            <w:tcW w:w="7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left"/>
              <w:textAlignment w:val="center"/>
              <w:rPr>
                <w:rFonts w:hint="default"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2</w:t>
            </w:r>
            <w:r>
              <w:rPr>
                <w:rFonts w:hint="eastAsia" w:ascii="仿宋" w:hAnsi="仿宋" w:eastAsia="仿宋" w:cs="仿宋"/>
                <w:i w:val="0"/>
                <w:iCs w:val="0"/>
                <w:color w:val="auto"/>
                <w:kern w:val="0"/>
                <w:sz w:val="21"/>
                <w:szCs w:val="21"/>
                <w:u w:val="none"/>
                <w:lang w:val="en-US" w:eastAsia="zh-CN" w:bidi="ar"/>
              </w:rPr>
              <w:t>、化学原料及化学制品制造业；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p>
        </w:tc>
        <w:tc>
          <w:tcPr>
            <w:tcW w:w="7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left"/>
              <w:textAlignment w:val="center"/>
              <w:rPr>
                <w:rFonts w:hint="default"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3</w:t>
            </w:r>
            <w:r>
              <w:rPr>
                <w:rFonts w:hint="eastAsia" w:ascii="仿宋" w:hAnsi="仿宋" w:eastAsia="仿宋" w:cs="仿宋"/>
                <w:i w:val="0"/>
                <w:iCs w:val="0"/>
                <w:color w:val="auto"/>
                <w:kern w:val="0"/>
                <w:sz w:val="21"/>
                <w:szCs w:val="21"/>
                <w:u w:val="none"/>
                <w:lang w:val="en-US" w:eastAsia="zh-CN" w:bidi="ar"/>
              </w:rPr>
              <w:t>、非金属矿物制品业；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p>
        </w:tc>
        <w:tc>
          <w:tcPr>
            <w:tcW w:w="7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left"/>
              <w:textAlignment w:val="center"/>
              <w:rPr>
                <w:rFonts w:hint="default"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4</w:t>
            </w:r>
            <w:r>
              <w:rPr>
                <w:rFonts w:hint="eastAsia" w:ascii="仿宋" w:hAnsi="仿宋" w:eastAsia="仿宋" w:cs="仿宋"/>
                <w:i w:val="0"/>
                <w:iCs w:val="0"/>
                <w:color w:val="auto"/>
                <w:kern w:val="0"/>
                <w:sz w:val="21"/>
                <w:szCs w:val="21"/>
                <w:u w:val="none"/>
                <w:lang w:val="en-US" w:eastAsia="zh-CN" w:bidi="ar"/>
              </w:rPr>
              <w:t>、黑色金属冶炼及压延加工业；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p>
        </w:tc>
        <w:tc>
          <w:tcPr>
            <w:tcW w:w="7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left"/>
              <w:textAlignment w:val="center"/>
              <w:rPr>
                <w:rFonts w:hint="default"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5</w:t>
            </w:r>
            <w:r>
              <w:rPr>
                <w:rFonts w:hint="eastAsia" w:ascii="仿宋" w:hAnsi="仿宋" w:eastAsia="仿宋" w:cs="仿宋"/>
                <w:i w:val="0"/>
                <w:iCs w:val="0"/>
                <w:color w:val="auto"/>
                <w:kern w:val="0"/>
                <w:sz w:val="21"/>
                <w:szCs w:val="21"/>
                <w:u w:val="none"/>
                <w:lang w:val="en-US" w:eastAsia="zh-CN" w:bidi="ar"/>
              </w:rPr>
              <w:t>、有色金属冶炼及压延加工业；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p>
        </w:tc>
        <w:tc>
          <w:tcPr>
            <w:tcW w:w="7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left"/>
              <w:textAlignment w:val="center"/>
              <w:rPr>
                <w:rFonts w:hint="default"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6</w:t>
            </w:r>
            <w:r>
              <w:rPr>
                <w:rFonts w:hint="eastAsia" w:ascii="仿宋" w:hAnsi="仿宋" w:eastAsia="仿宋" w:cs="仿宋"/>
                <w:i w:val="0"/>
                <w:iCs w:val="0"/>
                <w:color w:val="auto"/>
                <w:kern w:val="0"/>
                <w:sz w:val="21"/>
                <w:szCs w:val="21"/>
                <w:u w:val="none"/>
                <w:lang w:val="en-US" w:eastAsia="zh-CN" w:bidi="ar"/>
              </w:rPr>
              <w:t>、电力热力的生产和供应业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第二类</w:t>
            </w:r>
          </w:p>
        </w:tc>
        <w:tc>
          <w:tcPr>
            <w:tcW w:w="7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国家《产业结构调整指导目录》（</w:t>
            </w:r>
            <w:r>
              <w:rPr>
                <w:rFonts w:hint="default" w:ascii="仿宋" w:hAnsi="仿宋" w:eastAsia="仿宋" w:cs="仿宋"/>
                <w:i w:val="0"/>
                <w:iCs w:val="0"/>
                <w:color w:val="auto"/>
                <w:kern w:val="0"/>
                <w:sz w:val="21"/>
                <w:szCs w:val="21"/>
                <w:u w:val="none"/>
                <w:lang w:val="en-US" w:eastAsia="zh-CN" w:bidi="ar"/>
              </w:rPr>
              <w:t>2019</w:t>
            </w:r>
            <w:r>
              <w:rPr>
                <w:rFonts w:hint="eastAsia" w:ascii="仿宋" w:hAnsi="仿宋" w:eastAsia="仿宋" w:cs="仿宋"/>
                <w:i w:val="0"/>
                <w:iCs w:val="0"/>
                <w:color w:val="auto"/>
                <w:kern w:val="0"/>
                <w:sz w:val="21"/>
                <w:szCs w:val="21"/>
                <w:u w:val="none"/>
                <w:lang w:val="en-US" w:eastAsia="zh-CN" w:bidi="ar"/>
              </w:rPr>
              <w:t>年本）等产业政策规定的限制类、淘汰类项目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6" w:hRule="atLeast"/>
        </w:trPr>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第三类</w:t>
            </w:r>
          </w:p>
        </w:tc>
        <w:tc>
          <w:tcPr>
            <w:tcW w:w="7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投资项目中新增煤炭消耗量的项目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第四类</w:t>
            </w:r>
          </w:p>
        </w:tc>
        <w:tc>
          <w:tcPr>
            <w:tcW w:w="7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综合能耗大于</w:t>
            </w:r>
            <w:r>
              <w:rPr>
                <w:rFonts w:hint="default" w:ascii="仿宋" w:hAnsi="仿宋" w:eastAsia="仿宋" w:cs="仿宋"/>
                <w:i w:val="0"/>
                <w:iCs w:val="0"/>
                <w:color w:val="auto"/>
                <w:kern w:val="0"/>
                <w:sz w:val="21"/>
                <w:szCs w:val="21"/>
                <w:u w:val="none"/>
                <w:lang w:val="en-US" w:eastAsia="zh-CN" w:bidi="ar"/>
              </w:rPr>
              <w:t>3000tce</w:t>
            </w:r>
            <w:r>
              <w:rPr>
                <w:rFonts w:hint="eastAsia" w:ascii="仿宋" w:hAnsi="仿宋" w:eastAsia="仿宋" w:cs="仿宋"/>
                <w:i w:val="0"/>
                <w:iCs w:val="0"/>
                <w:color w:val="auto"/>
                <w:kern w:val="0"/>
                <w:sz w:val="21"/>
                <w:szCs w:val="21"/>
                <w:u w:val="none"/>
                <w:lang w:val="en-US" w:eastAsia="zh-CN" w:bidi="ar"/>
              </w:rPr>
              <w:t>的其他工业项目（即磷系新材料、氯碱化工、氟材料、钛材料、储能产业、铝基新材料、新型建材、特色农产品8个主导产业以外的项目）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第五类</w:t>
            </w:r>
          </w:p>
        </w:tc>
        <w:tc>
          <w:tcPr>
            <w:tcW w:w="7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工业增加值能耗高于</w:t>
            </w:r>
            <w:r>
              <w:rPr>
                <w:rFonts w:hint="eastAsia" w:ascii="仿宋" w:hAnsi="仿宋" w:cs="仿宋"/>
                <w:i w:val="0"/>
                <w:iCs w:val="0"/>
                <w:color w:val="auto"/>
                <w:kern w:val="0"/>
                <w:sz w:val="21"/>
                <w:szCs w:val="21"/>
                <w:u w:val="none"/>
                <w:lang w:val="en-US" w:eastAsia="zh-CN" w:bidi="ar"/>
              </w:rPr>
              <w:t>1.5358</w:t>
            </w:r>
            <w:r>
              <w:rPr>
                <w:rFonts w:hint="eastAsia" w:ascii="仿宋" w:hAnsi="仿宋" w:eastAsia="仿宋" w:cs="仿宋"/>
                <w:i w:val="0"/>
                <w:iCs w:val="0"/>
                <w:color w:val="auto"/>
                <w:kern w:val="0"/>
                <w:sz w:val="21"/>
                <w:szCs w:val="21"/>
                <w:u w:val="none"/>
                <w:lang w:val="en-US" w:eastAsia="zh-CN" w:bidi="ar"/>
              </w:rPr>
              <w:t>tce/万元的项目（即即磷系新材料、氯碱化工、氟材料、钛材料、储能产业、铝基新材料、新型建材、特色农产品8个主导产业以外的项目）</w:t>
            </w:r>
          </w:p>
        </w:tc>
      </w:tr>
    </w:tbl>
    <w:p>
      <w:pPr>
        <w:rPr>
          <w:rFonts w:hint="eastAsia"/>
          <w:color w:val="auto"/>
          <w:lang w:val="en-US" w:eastAsia="zh-CN"/>
        </w:rPr>
      </w:pPr>
      <w:r>
        <w:rPr>
          <w:rFonts w:hint="eastAsia"/>
          <w:color w:val="auto"/>
          <w:lang w:val="en-US" w:eastAsia="zh-CN"/>
        </w:rPr>
        <w:t>3、根据区域节能“双控”目标，制定区域引入产业的经济能效准入值。具体见下表。</w:t>
      </w:r>
    </w:p>
    <w:p>
      <w:pPr>
        <w:jc w:val="center"/>
        <w:rPr>
          <w:rFonts w:hint="eastAsia"/>
          <w:color w:val="auto"/>
          <w:lang w:val="en-US" w:eastAsia="zh-CN"/>
        </w:rPr>
      </w:pPr>
      <w:r>
        <w:rPr>
          <w:rFonts w:hint="eastAsia"/>
          <w:color w:val="auto"/>
          <w:lang w:val="en-US" w:eastAsia="zh-CN"/>
        </w:rPr>
        <w:t>表7-2区域产业能效准入值</w:t>
      </w:r>
    </w:p>
    <w:tbl>
      <w:tblPr>
        <w:tblStyle w:val="11"/>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23"/>
        <w:gridCol w:w="2436"/>
        <w:gridCol w:w="48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序号</w:t>
            </w:r>
          </w:p>
        </w:tc>
        <w:tc>
          <w:tcPr>
            <w:tcW w:w="14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行业</w:t>
            </w:r>
          </w:p>
        </w:tc>
        <w:tc>
          <w:tcPr>
            <w:tcW w:w="28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开发区企业工业</w:t>
            </w:r>
            <w:r>
              <w:rPr>
                <w:rFonts w:hint="eastAsia" w:ascii="仿宋" w:hAnsi="仿宋" w:cs="仿宋"/>
                <w:i w:val="0"/>
                <w:iCs w:val="0"/>
                <w:color w:val="auto"/>
                <w:kern w:val="0"/>
                <w:sz w:val="21"/>
                <w:szCs w:val="21"/>
                <w:u w:val="none"/>
                <w:lang w:val="en-US" w:eastAsia="zh-CN" w:bidi="ar"/>
              </w:rPr>
              <w:t>增加值</w:t>
            </w:r>
            <w:r>
              <w:rPr>
                <w:rFonts w:hint="eastAsia" w:ascii="仿宋" w:hAnsi="仿宋" w:eastAsia="仿宋" w:cs="仿宋"/>
                <w:i w:val="0"/>
                <w:iCs w:val="0"/>
                <w:color w:val="auto"/>
                <w:kern w:val="0"/>
                <w:sz w:val="21"/>
                <w:szCs w:val="21"/>
                <w:u w:val="none"/>
                <w:lang w:val="en-US" w:eastAsia="zh-CN" w:bidi="ar"/>
              </w:rPr>
              <w:t>能耗（tce/万元）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p>
        </w:tc>
        <w:tc>
          <w:tcPr>
            <w:tcW w:w="14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p>
        </w:tc>
        <w:tc>
          <w:tcPr>
            <w:tcW w:w="28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准入值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1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磷系新材料</w:t>
            </w:r>
          </w:p>
        </w:tc>
        <w:tc>
          <w:tcPr>
            <w:tcW w:w="4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2.187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w:t>
            </w:r>
          </w:p>
        </w:tc>
        <w:tc>
          <w:tcPr>
            <w:tcW w:w="1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氯碱化工</w:t>
            </w:r>
          </w:p>
        </w:tc>
        <w:tc>
          <w:tcPr>
            <w:tcW w:w="4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0.566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w:t>
            </w:r>
          </w:p>
        </w:tc>
        <w:tc>
          <w:tcPr>
            <w:tcW w:w="1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氟材料</w:t>
            </w:r>
          </w:p>
        </w:tc>
        <w:tc>
          <w:tcPr>
            <w:tcW w:w="4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0.539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4</w:t>
            </w:r>
          </w:p>
        </w:tc>
        <w:tc>
          <w:tcPr>
            <w:tcW w:w="1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钛材料</w:t>
            </w:r>
          </w:p>
        </w:tc>
        <w:tc>
          <w:tcPr>
            <w:tcW w:w="4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5</w:t>
            </w:r>
          </w:p>
        </w:tc>
        <w:tc>
          <w:tcPr>
            <w:tcW w:w="1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储能产业</w:t>
            </w:r>
          </w:p>
        </w:tc>
        <w:tc>
          <w:tcPr>
            <w:tcW w:w="4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0.844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6</w:t>
            </w:r>
          </w:p>
        </w:tc>
        <w:tc>
          <w:tcPr>
            <w:tcW w:w="1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铝基新材料</w:t>
            </w:r>
          </w:p>
        </w:tc>
        <w:tc>
          <w:tcPr>
            <w:tcW w:w="4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1.916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7</w:t>
            </w:r>
          </w:p>
        </w:tc>
        <w:tc>
          <w:tcPr>
            <w:tcW w:w="1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新型建材</w:t>
            </w:r>
          </w:p>
        </w:tc>
        <w:tc>
          <w:tcPr>
            <w:tcW w:w="4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8</w:t>
            </w:r>
          </w:p>
        </w:tc>
        <w:tc>
          <w:tcPr>
            <w:tcW w:w="1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特色农产品</w:t>
            </w:r>
          </w:p>
        </w:tc>
        <w:tc>
          <w:tcPr>
            <w:tcW w:w="4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0.162</w:t>
            </w:r>
          </w:p>
        </w:tc>
      </w:tr>
    </w:tbl>
    <w:p>
      <w:pPr>
        <w:rPr>
          <w:rFonts w:hint="eastAsia"/>
          <w:color w:val="auto"/>
          <w:lang w:val="en-US" w:eastAsia="zh-CN"/>
        </w:rPr>
      </w:pPr>
      <w:r>
        <w:rPr>
          <w:rFonts w:hint="eastAsia"/>
          <w:color w:val="auto"/>
          <w:lang w:val="en-US" w:eastAsia="zh-CN"/>
        </w:rPr>
        <w:t>4、根据区域行业用能特点，提出区域公辅系统物理能效指标要求。</w:t>
      </w:r>
    </w:p>
    <w:p>
      <w:pPr>
        <w:rPr>
          <w:rFonts w:hint="eastAsia"/>
          <w:color w:val="auto"/>
          <w:lang w:val="en-US" w:eastAsia="zh-CN"/>
        </w:rPr>
      </w:pPr>
      <w:r>
        <w:rPr>
          <w:rFonts w:hint="eastAsia"/>
          <w:color w:val="auto"/>
          <w:lang w:val="en-US" w:eastAsia="zh-CN"/>
        </w:rPr>
        <w:t>5、依据开发区规划并结合区域内各主要行业用能潜力分析及先进节能技术，分别阐述了相关行业主要生产系统及供配电系统、空压系统等辅助生产系统的节能措施。</w:t>
      </w:r>
    </w:p>
    <w:p>
      <w:pPr>
        <w:rPr>
          <w:rFonts w:hint="eastAsia"/>
          <w:color w:val="auto"/>
          <w:lang w:val="en-US" w:eastAsia="zh-CN"/>
        </w:rPr>
      </w:pPr>
      <w:r>
        <w:rPr>
          <w:rFonts w:hint="eastAsia"/>
          <w:color w:val="auto"/>
          <w:lang w:val="en-US" w:eastAsia="zh-CN"/>
        </w:rPr>
        <w:t>6、应对企业使用的能源进行三级计量配备和考核，以便于企业对产品进行能耗考核，能源三级计量器具配备包括能源进出企业、主要次级用能单位、主要用能设备等。</w:t>
      </w:r>
    </w:p>
    <w:p>
      <w:pPr>
        <w:rPr>
          <w:rFonts w:hint="eastAsia"/>
          <w:color w:val="auto"/>
          <w:lang w:val="en-US" w:eastAsia="zh-CN"/>
        </w:rPr>
      </w:pPr>
    </w:p>
    <w:p>
      <w:pPr>
        <w:pStyle w:val="3"/>
        <w:bidi w:val="0"/>
        <w:rPr>
          <w:rFonts w:hint="eastAsia"/>
          <w:color w:val="auto"/>
          <w:lang w:val="en-US" w:eastAsia="zh-CN"/>
        </w:rPr>
      </w:pPr>
      <w:bookmarkStart w:id="64" w:name="_Toc3441"/>
      <w:r>
        <w:rPr>
          <w:rFonts w:hint="eastAsia"/>
          <w:color w:val="auto"/>
          <w:lang w:val="en-US" w:eastAsia="zh-CN"/>
        </w:rPr>
        <w:t>7.2 建议</w:t>
      </w:r>
      <w:bookmarkEnd w:id="64"/>
    </w:p>
    <w:p>
      <w:pPr>
        <w:rPr>
          <w:rFonts w:hint="eastAsia"/>
          <w:color w:val="auto"/>
          <w:lang w:val="en-US" w:eastAsia="zh-CN"/>
        </w:rPr>
      </w:pPr>
      <w:r>
        <w:rPr>
          <w:rFonts w:hint="eastAsia"/>
          <w:color w:val="auto"/>
          <w:lang w:val="en-US" w:eastAsia="zh-CN"/>
        </w:rPr>
        <w:t>1、建立健全相关能耗标准体系，开展能效领跑者创建能效之星活动</w:t>
      </w:r>
    </w:p>
    <w:p>
      <w:pPr>
        <w:rPr>
          <w:rFonts w:hint="eastAsia"/>
          <w:color w:val="auto"/>
          <w:lang w:val="en-US" w:eastAsia="zh-CN"/>
        </w:rPr>
      </w:pPr>
      <w:r>
        <w:rPr>
          <w:rFonts w:hint="eastAsia"/>
          <w:color w:val="auto"/>
          <w:lang w:val="en-US" w:eastAsia="zh-CN"/>
        </w:rPr>
        <w:t>建立健全区域重点用能行业能效标准体系，开展行业能效领跑者活动，根据单位产品能耗、单位产品水耗、工业增加值能耗（吨标煤/万元）、单位能耗税收（万元/吨标煤）等能效指标，在区域主导行业推出一批能源利用效率领先的行业标杆，为区域能评提供能效对标技术支持。区域内可根据区域产业的发展现状，制订严于国家、行业和省能效标准的区域能耗标准，提高区域能源利用效率，提升区域产业发展水平。</w:t>
      </w:r>
    </w:p>
    <w:p>
      <w:pPr>
        <w:rPr>
          <w:rFonts w:hint="eastAsia"/>
          <w:color w:val="auto"/>
          <w:lang w:val="en-US" w:eastAsia="zh-CN"/>
        </w:rPr>
      </w:pPr>
      <w:r>
        <w:rPr>
          <w:rFonts w:hint="eastAsia"/>
          <w:color w:val="auto"/>
          <w:lang w:val="en-US" w:eastAsia="zh-CN"/>
        </w:rPr>
        <w:t>2、实施用能预算化管理制度</w:t>
      </w:r>
    </w:p>
    <w:p>
      <w:pPr>
        <w:rPr>
          <w:rFonts w:hint="eastAsia"/>
          <w:color w:val="auto"/>
          <w:lang w:val="en-US" w:eastAsia="zh-CN"/>
        </w:rPr>
      </w:pPr>
      <w:r>
        <w:rPr>
          <w:rFonts w:hint="eastAsia"/>
          <w:color w:val="auto"/>
          <w:lang w:val="en-US" w:eastAsia="zh-CN"/>
        </w:rPr>
        <w:t>建立区域内用能预算化管理体系，推行用能预算化管理制度。提出新上负面清单内项目产能，按能源总量许可进行安排的科学建议。能源总量不足安排的，必须按照“等量置换”或“减量置换”的原则淘汰相应产能，推动用能管理精细化、科学化，实现用能的高效配置，确保实现区域能源消费总量的动态平衡。对用能预算管理从技术层面提出科学建议，推动用能管理精细化、科学化，实现用能的高效配置。</w:t>
      </w:r>
    </w:p>
    <w:p>
      <w:pPr>
        <w:rPr>
          <w:rFonts w:hint="eastAsia"/>
          <w:color w:val="auto"/>
          <w:lang w:val="en-US" w:eastAsia="zh-CN"/>
        </w:rPr>
      </w:pPr>
      <w:r>
        <w:rPr>
          <w:rFonts w:hint="eastAsia"/>
          <w:color w:val="auto"/>
          <w:lang w:val="en-US" w:eastAsia="zh-CN"/>
        </w:rPr>
        <w:t>3、建立区域用能权有偿使用和交易制度</w:t>
      </w:r>
    </w:p>
    <w:p>
      <w:pPr>
        <w:rPr>
          <w:rFonts w:hint="eastAsia"/>
          <w:color w:val="auto"/>
          <w:lang w:val="en-US" w:eastAsia="zh-CN"/>
        </w:rPr>
      </w:pPr>
      <w:r>
        <w:rPr>
          <w:rFonts w:hint="eastAsia"/>
          <w:color w:val="auto"/>
          <w:lang w:val="en-US" w:eastAsia="zh-CN"/>
        </w:rPr>
        <w:t>建立区域用能权有偿使用和交易制度。在区域能源消费总量控制目标的“天花板”下，合理确定用能单位初始用能权。区分产能过剩行业和其他行业、高耗能行业和非高耗能行业、重点用能单位和非重点用能单位、现有产能和新增产能，实施分别对待。鼓励可再生能源生产和使用，用能单位自产自用可再生能源不计入其综合能源消费量。对未履行能评承诺、未能通过项目竣工节能验收的项目，原则上不得核定用能权。</w:t>
      </w:r>
    </w:p>
    <w:p>
      <w:pPr>
        <w:rPr>
          <w:rFonts w:hint="eastAsia"/>
          <w:color w:val="auto"/>
          <w:lang w:val="en-US" w:eastAsia="zh-CN"/>
        </w:rPr>
      </w:pPr>
      <w:r>
        <w:rPr>
          <w:rFonts w:hint="eastAsia"/>
          <w:color w:val="auto"/>
          <w:lang w:val="en-US" w:eastAsia="zh-CN"/>
        </w:rPr>
        <w:t>对新建、改建、扩建项目的新增用能指标，鼓励通过有偿配置或市场交易等方式取得，形成存量用能分类核定、新增用能有偿使用、节约用能上市交易的体制机制。</w:t>
      </w:r>
    </w:p>
    <w:p>
      <w:pPr>
        <w:rPr>
          <w:rFonts w:hint="eastAsia"/>
          <w:color w:val="auto"/>
          <w:lang w:val="en-US" w:eastAsia="zh-CN"/>
        </w:rPr>
      </w:pPr>
      <w:r>
        <w:rPr>
          <w:rFonts w:hint="eastAsia"/>
          <w:color w:val="auto"/>
          <w:lang w:val="en-US" w:eastAsia="zh-CN"/>
        </w:rPr>
        <w:t>4、区域内第三产业及建筑业应按照相关节能措施进行项目管理，为区域节能降耗做出贡献。</w:t>
      </w:r>
    </w:p>
    <w:p>
      <w:pPr>
        <w:rPr>
          <w:rFonts w:hint="eastAsia"/>
          <w:color w:val="auto"/>
          <w:lang w:val="en-US" w:eastAsia="zh-CN"/>
        </w:rPr>
      </w:pPr>
    </w:p>
    <w:p>
      <w:pPr>
        <w:bidi w:val="0"/>
        <w:rPr>
          <w:rFonts w:hint="eastAsia"/>
          <w:color w:val="auto"/>
          <w:lang w:val="en-US" w:eastAsia="zh-CN"/>
        </w:rPr>
      </w:pPr>
    </w:p>
    <w:p>
      <w:pPr>
        <w:rPr>
          <w:color w:val="auto"/>
        </w:rPr>
      </w:pP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803070505020304"/>
    <w:charset w:val="80"/>
    <w:family w:val="auto"/>
    <w:pitch w:val="default"/>
    <w:sig w:usb0="00007A87" w:usb1="80000000" w:usb2="00000008" w:usb3="00000000" w:csb0="400001FF" w:csb1="FFFF0000"/>
  </w:font>
  <w:font w:name="宋体">
    <w:panose1 w:val="02010600030101010101"/>
    <w:charset w:val="50"/>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
    <w:altName w:val="宋体"/>
    <w:panose1 w:val="02010609060101010101"/>
    <w:charset w:val="86"/>
    <w:family w:val="auto"/>
    <w:pitch w:val="default"/>
    <w:sig w:usb0="00000000" w:usb1="00000000"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Microsoft YaHei">
    <w:altName w:val="黑体"/>
    <w:panose1 w:val="00000000000000000000"/>
    <w:charset w:val="00"/>
    <w:family w:val="auto"/>
    <w:pitch w:val="default"/>
    <w:sig w:usb0="00000000" w:usb1="00000000" w:usb2="00000000" w:usb3="00000000" w:csb0="00000000" w:csb1="00000000"/>
  </w:font>
  <w:font w:name="Tahoma">
    <w:altName w:val="DejaVu Sans"/>
    <w:panose1 w:val="00000000000000000000"/>
    <w:charset w:val="00"/>
    <w:family w:val="auto"/>
    <w:pitch w:val="default"/>
    <w:sig w:usb0="00000000" w:usb1="00000000" w:usb2="00000000" w:usb3="00000000" w:csb0="00000000" w:csb1="00000000"/>
  </w:font>
  <w:font w:name="文泉驿微米黑">
    <w:panose1 w:val="020B0606030804020204"/>
    <w:charset w:val="86"/>
    <w:family w:val="auto"/>
    <w:pitch w:val="default"/>
    <w:sig w:usb0="E10002EF" w:usb1="6BDFFCFB" w:usb2="00800036" w:usb3="00000000" w:csb0="603E019F" w:csb1="DFD7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 </w:t>
                          </w:r>
                          <w:r>
                            <w:fldChar w:fldCharType="begin"/>
                          </w:r>
                          <w:r>
                            <w:instrText xml:space="preserve"> PAGE  \* MERGEFORMAT </w:instrText>
                          </w:r>
                          <w:r>
                            <w:fldChar w:fldCharType="separate"/>
                          </w:r>
                          <w:r>
                            <w:t>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zSVju&#10;0AAAAAUBAAAPAAAAAAAAAAEAIAAAADgAAABkcnMvZG93bnJldi54bWxQSwECFAAUAAAACACHTuJA&#10;srJDCRMCAAAVBAAADgAAAAAAAAABACAAAAA1AQAAZHJzL2Uyb0RvYy54bWxQSwUGAAAAAAYABgBZ&#10;AQAAugUAAAAA&#10;">
              <v:fill on="f" focussize="0,0"/>
              <v:stroke on="f" weight="0.5pt"/>
              <v:imagedata o:title=""/>
              <o:lock v:ext="edit" aspectratio="f"/>
              <v:textbox inset="0mm,0mm,0mm,0mm" style="mso-fit-shape-to-text:t;">
                <w:txbxContent>
                  <w:p>
                    <w:pPr>
                      <w:pStyle w:val="7"/>
                    </w:pPr>
                    <w:r>
                      <w:t xml:space="preserve">— </w:t>
                    </w:r>
                    <w:r>
                      <w:fldChar w:fldCharType="begin"/>
                    </w:r>
                    <w:r>
                      <w:instrText xml:space="preserve"> PAGE  \* MERGEFORMAT </w:instrText>
                    </w:r>
                    <w:r>
                      <w:fldChar w:fldCharType="separate"/>
                    </w:r>
                    <w:r>
                      <w:t>2</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464A584"/>
    <w:multiLevelType w:val="singleLevel"/>
    <w:tmpl w:val="2464A584"/>
    <w:lvl w:ilvl="0" w:tentative="0">
      <w:start w:val="1"/>
      <w:numFmt w:val="decimalEnclosedCircleChinese"/>
      <w:suff w:val="nothing"/>
      <w:lvlText w:val="%1　"/>
      <w:lvlJc w:val="left"/>
      <w:pPr>
        <w:ind w:left="0" w:firstLine="4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EzNTlmYWNjNTZlZGViMmNkNWQwZmI1NGQxOWIwNTAifQ=="/>
  </w:docVars>
  <w:rsids>
    <w:rsidRoot w:val="00000000"/>
    <w:rsid w:val="007633D3"/>
    <w:rsid w:val="01085B82"/>
    <w:rsid w:val="016D0D8E"/>
    <w:rsid w:val="019946D2"/>
    <w:rsid w:val="01D337E2"/>
    <w:rsid w:val="023A62FA"/>
    <w:rsid w:val="025F1A63"/>
    <w:rsid w:val="0326204C"/>
    <w:rsid w:val="033C3341"/>
    <w:rsid w:val="035F6D02"/>
    <w:rsid w:val="03A234C4"/>
    <w:rsid w:val="03B45BC1"/>
    <w:rsid w:val="04117BDE"/>
    <w:rsid w:val="04652D7C"/>
    <w:rsid w:val="04E90B5B"/>
    <w:rsid w:val="04F26B8E"/>
    <w:rsid w:val="050F2496"/>
    <w:rsid w:val="05146823"/>
    <w:rsid w:val="059F41EC"/>
    <w:rsid w:val="05B747B5"/>
    <w:rsid w:val="05DF25C2"/>
    <w:rsid w:val="05F575BE"/>
    <w:rsid w:val="05F67D64"/>
    <w:rsid w:val="06837912"/>
    <w:rsid w:val="06850178"/>
    <w:rsid w:val="06C40C91"/>
    <w:rsid w:val="06F9676B"/>
    <w:rsid w:val="070A1AAA"/>
    <w:rsid w:val="07141D28"/>
    <w:rsid w:val="071D22C7"/>
    <w:rsid w:val="079F0A4D"/>
    <w:rsid w:val="07DB6307"/>
    <w:rsid w:val="080B16E4"/>
    <w:rsid w:val="08136C6E"/>
    <w:rsid w:val="0832034D"/>
    <w:rsid w:val="088F0D5E"/>
    <w:rsid w:val="092251E9"/>
    <w:rsid w:val="09927E64"/>
    <w:rsid w:val="09A27157"/>
    <w:rsid w:val="09C23408"/>
    <w:rsid w:val="09EB18A9"/>
    <w:rsid w:val="09FF0A3F"/>
    <w:rsid w:val="0A1C7EEB"/>
    <w:rsid w:val="0A762E91"/>
    <w:rsid w:val="0AAB3D46"/>
    <w:rsid w:val="0B5F4C93"/>
    <w:rsid w:val="0B6158EF"/>
    <w:rsid w:val="0B6E4FE3"/>
    <w:rsid w:val="0BD64E39"/>
    <w:rsid w:val="0BF67739"/>
    <w:rsid w:val="0C3F589F"/>
    <w:rsid w:val="0C697742"/>
    <w:rsid w:val="0C7927C4"/>
    <w:rsid w:val="0CC37A22"/>
    <w:rsid w:val="0CCE485A"/>
    <w:rsid w:val="0D207211"/>
    <w:rsid w:val="0D4C4DCE"/>
    <w:rsid w:val="0D8E29DE"/>
    <w:rsid w:val="0D9A1729"/>
    <w:rsid w:val="0DDA5D3E"/>
    <w:rsid w:val="0E9F5DF3"/>
    <w:rsid w:val="0EC84232"/>
    <w:rsid w:val="0EE136D3"/>
    <w:rsid w:val="0EE43A7A"/>
    <w:rsid w:val="0F262768"/>
    <w:rsid w:val="0FB205B3"/>
    <w:rsid w:val="0FEF2407"/>
    <w:rsid w:val="101D790A"/>
    <w:rsid w:val="10244C36"/>
    <w:rsid w:val="10614C9E"/>
    <w:rsid w:val="10A7730A"/>
    <w:rsid w:val="10AC1E65"/>
    <w:rsid w:val="10BF1855"/>
    <w:rsid w:val="10DD6E3A"/>
    <w:rsid w:val="112C6FA5"/>
    <w:rsid w:val="115C097B"/>
    <w:rsid w:val="118D1D39"/>
    <w:rsid w:val="11B54E22"/>
    <w:rsid w:val="11C36E4C"/>
    <w:rsid w:val="1214447A"/>
    <w:rsid w:val="124F62BC"/>
    <w:rsid w:val="131F0935"/>
    <w:rsid w:val="13370CE3"/>
    <w:rsid w:val="138D60AF"/>
    <w:rsid w:val="13AF1EB5"/>
    <w:rsid w:val="13BC1594"/>
    <w:rsid w:val="13C8187F"/>
    <w:rsid w:val="141155A6"/>
    <w:rsid w:val="14445DAD"/>
    <w:rsid w:val="14455D37"/>
    <w:rsid w:val="144A1A2E"/>
    <w:rsid w:val="145C3AF1"/>
    <w:rsid w:val="147617C3"/>
    <w:rsid w:val="157718C1"/>
    <w:rsid w:val="15B54A97"/>
    <w:rsid w:val="15C17681"/>
    <w:rsid w:val="16071AFE"/>
    <w:rsid w:val="163C6526"/>
    <w:rsid w:val="1650051A"/>
    <w:rsid w:val="16845544"/>
    <w:rsid w:val="169A2A7A"/>
    <w:rsid w:val="169A3A63"/>
    <w:rsid w:val="16A91085"/>
    <w:rsid w:val="16CA6F55"/>
    <w:rsid w:val="17452F1A"/>
    <w:rsid w:val="174B41D2"/>
    <w:rsid w:val="1752281E"/>
    <w:rsid w:val="17BB3D7B"/>
    <w:rsid w:val="17D17878"/>
    <w:rsid w:val="17DE2954"/>
    <w:rsid w:val="17EE0FBD"/>
    <w:rsid w:val="18826EA4"/>
    <w:rsid w:val="18A83216"/>
    <w:rsid w:val="18C54E6D"/>
    <w:rsid w:val="19081E2D"/>
    <w:rsid w:val="197C5D03"/>
    <w:rsid w:val="19844FDA"/>
    <w:rsid w:val="19FC5BC7"/>
    <w:rsid w:val="1A371634"/>
    <w:rsid w:val="1A554722"/>
    <w:rsid w:val="1A83384E"/>
    <w:rsid w:val="1A8D4739"/>
    <w:rsid w:val="1A9B3C7D"/>
    <w:rsid w:val="1AA66184"/>
    <w:rsid w:val="1AFA5AAC"/>
    <w:rsid w:val="1B0645E3"/>
    <w:rsid w:val="1B0F182E"/>
    <w:rsid w:val="1B901416"/>
    <w:rsid w:val="1BE62D1F"/>
    <w:rsid w:val="1C2C01A7"/>
    <w:rsid w:val="1CA71AA9"/>
    <w:rsid w:val="1CC47967"/>
    <w:rsid w:val="1D133495"/>
    <w:rsid w:val="1D8E5099"/>
    <w:rsid w:val="1E6A01BF"/>
    <w:rsid w:val="1E845637"/>
    <w:rsid w:val="1EA13ED3"/>
    <w:rsid w:val="1EFC23D9"/>
    <w:rsid w:val="1F1423C3"/>
    <w:rsid w:val="1F49071C"/>
    <w:rsid w:val="1F8C74B6"/>
    <w:rsid w:val="1FA3139D"/>
    <w:rsid w:val="1FA504B1"/>
    <w:rsid w:val="1FB07E32"/>
    <w:rsid w:val="202F16C0"/>
    <w:rsid w:val="20746A04"/>
    <w:rsid w:val="20E2229B"/>
    <w:rsid w:val="20E24677"/>
    <w:rsid w:val="21191810"/>
    <w:rsid w:val="213D259F"/>
    <w:rsid w:val="21407BA0"/>
    <w:rsid w:val="216D5F5C"/>
    <w:rsid w:val="217A6DBF"/>
    <w:rsid w:val="21A54FD3"/>
    <w:rsid w:val="21DF2C72"/>
    <w:rsid w:val="21F1740E"/>
    <w:rsid w:val="222E5CCE"/>
    <w:rsid w:val="22393550"/>
    <w:rsid w:val="22647C61"/>
    <w:rsid w:val="22940380"/>
    <w:rsid w:val="22DD5B7F"/>
    <w:rsid w:val="22E06ECE"/>
    <w:rsid w:val="22E6332D"/>
    <w:rsid w:val="23222EB5"/>
    <w:rsid w:val="232C56DF"/>
    <w:rsid w:val="23562210"/>
    <w:rsid w:val="235772CF"/>
    <w:rsid w:val="236576B4"/>
    <w:rsid w:val="23762DFD"/>
    <w:rsid w:val="239576CA"/>
    <w:rsid w:val="23B43977"/>
    <w:rsid w:val="23D270B1"/>
    <w:rsid w:val="242C0730"/>
    <w:rsid w:val="242E2FC7"/>
    <w:rsid w:val="2446204D"/>
    <w:rsid w:val="24EC4023"/>
    <w:rsid w:val="25590781"/>
    <w:rsid w:val="2576462E"/>
    <w:rsid w:val="259671B6"/>
    <w:rsid w:val="25CC175F"/>
    <w:rsid w:val="25E22CB7"/>
    <w:rsid w:val="25F6401D"/>
    <w:rsid w:val="263943EA"/>
    <w:rsid w:val="26503B61"/>
    <w:rsid w:val="26943F86"/>
    <w:rsid w:val="26976211"/>
    <w:rsid w:val="26BC1F49"/>
    <w:rsid w:val="26D47CC3"/>
    <w:rsid w:val="26DD72EE"/>
    <w:rsid w:val="27010B22"/>
    <w:rsid w:val="27344B8B"/>
    <w:rsid w:val="27712011"/>
    <w:rsid w:val="27AE5950"/>
    <w:rsid w:val="27AE79CE"/>
    <w:rsid w:val="27B47F3F"/>
    <w:rsid w:val="27D533CA"/>
    <w:rsid w:val="2818512F"/>
    <w:rsid w:val="284E1FE6"/>
    <w:rsid w:val="287C08B4"/>
    <w:rsid w:val="28CC3A2E"/>
    <w:rsid w:val="28DC615D"/>
    <w:rsid w:val="28E01F61"/>
    <w:rsid w:val="29080953"/>
    <w:rsid w:val="29695C74"/>
    <w:rsid w:val="29A90345"/>
    <w:rsid w:val="29B2561C"/>
    <w:rsid w:val="29EA4295"/>
    <w:rsid w:val="2A2B54BD"/>
    <w:rsid w:val="2ACC6349"/>
    <w:rsid w:val="2AF91700"/>
    <w:rsid w:val="2B1A56D8"/>
    <w:rsid w:val="2B4C1780"/>
    <w:rsid w:val="2B736243"/>
    <w:rsid w:val="2BAB2293"/>
    <w:rsid w:val="2C8A65C6"/>
    <w:rsid w:val="2C98384E"/>
    <w:rsid w:val="2CB71DD9"/>
    <w:rsid w:val="2D265FD0"/>
    <w:rsid w:val="2D596C24"/>
    <w:rsid w:val="2D6D7024"/>
    <w:rsid w:val="2DB33D2E"/>
    <w:rsid w:val="2EB60653"/>
    <w:rsid w:val="2F57453A"/>
    <w:rsid w:val="2F79083D"/>
    <w:rsid w:val="30070B9B"/>
    <w:rsid w:val="3032573D"/>
    <w:rsid w:val="30BF404F"/>
    <w:rsid w:val="30E750D5"/>
    <w:rsid w:val="311A21F3"/>
    <w:rsid w:val="3148438F"/>
    <w:rsid w:val="316E3D5A"/>
    <w:rsid w:val="31B53264"/>
    <w:rsid w:val="31C0661C"/>
    <w:rsid w:val="31EF0CAF"/>
    <w:rsid w:val="31F8639A"/>
    <w:rsid w:val="320F531B"/>
    <w:rsid w:val="324A3C2A"/>
    <w:rsid w:val="3258379F"/>
    <w:rsid w:val="32886447"/>
    <w:rsid w:val="32AA6474"/>
    <w:rsid w:val="32D8384A"/>
    <w:rsid w:val="3334165B"/>
    <w:rsid w:val="333E51C5"/>
    <w:rsid w:val="33435EF2"/>
    <w:rsid w:val="33AD3A8F"/>
    <w:rsid w:val="34294B35"/>
    <w:rsid w:val="345A48A4"/>
    <w:rsid w:val="34721473"/>
    <w:rsid w:val="34D10ADF"/>
    <w:rsid w:val="34FD7C9E"/>
    <w:rsid w:val="355F0F7C"/>
    <w:rsid w:val="356C5277"/>
    <w:rsid w:val="35734443"/>
    <w:rsid w:val="35B4782F"/>
    <w:rsid w:val="364702E7"/>
    <w:rsid w:val="365437D6"/>
    <w:rsid w:val="366B52AC"/>
    <w:rsid w:val="367F07B0"/>
    <w:rsid w:val="3690420A"/>
    <w:rsid w:val="36CF33FD"/>
    <w:rsid w:val="379E11AD"/>
    <w:rsid w:val="37CB1876"/>
    <w:rsid w:val="385D402E"/>
    <w:rsid w:val="387E316A"/>
    <w:rsid w:val="38DF267B"/>
    <w:rsid w:val="3A076705"/>
    <w:rsid w:val="3A44265F"/>
    <w:rsid w:val="3A7A797D"/>
    <w:rsid w:val="3AC10F9C"/>
    <w:rsid w:val="3ACF4EFF"/>
    <w:rsid w:val="3AF379B6"/>
    <w:rsid w:val="3B1002EF"/>
    <w:rsid w:val="3B1E5785"/>
    <w:rsid w:val="3BBF3CCF"/>
    <w:rsid w:val="3C1F5D64"/>
    <w:rsid w:val="3C4168D9"/>
    <w:rsid w:val="3C4C45AB"/>
    <w:rsid w:val="3C581708"/>
    <w:rsid w:val="3C85747F"/>
    <w:rsid w:val="3CD50783"/>
    <w:rsid w:val="3CDE3DFA"/>
    <w:rsid w:val="3CE2364B"/>
    <w:rsid w:val="3CE60747"/>
    <w:rsid w:val="3CEA32F1"/>
    <w:rsid w:val="3D525448"/>
    <w:rsid w:val="3DA14416"/>
    <w:rsid w:val="3DEC2546"/>
    <w:rsid w:val="3E0A5E35"/>
    <w:rsid w:val="3E136485"/>
    <w:rsid w:val="3E2C2E0B"/>
    <w:rsid w:val="3E4B345B"/>
    <w:rsid w:val="3E525CDC"/>
    <w:rsid w:val="3ECF4B87"/>
    <w:rsid w:val="3F332AF5"/>
    <w:rsid w:val="3F7E7E30"/>
    <w:rsid w:val="3FA95F39"/>
    <w:rsid w:val="40245A43"/>
    <w:rsid w:val="405C071D"/>
    <w:rsid w:val="40D632D9"/>
    <w:rsid w:val="416255D1"/>
    <w:rsid w:val="41A76D36"/>
    <w:rsid w:val="41B0546E"/>
    <w:rsid w:val="42405CCB"/>
    <w:rsid w:val="425C03E4"/>
    <w:rsid w:val="42964EE9"/>
    <w:rsid w:val="42A055F1"/>
    <w:rsid w:val="42D13C9A"/>
    <w:rsid w:val="42E66461"/>
    <w:rsid w:val="42F7270F"/>
    <w:rsid w:val="433A0D40"/>
    <w:rsid w:val="435D451A"/>
    <w:rsid w:val="43A32A7C"/>
    <w:rsid w:val="43C535B0"/>
    <w:rsid w:val="4410416D"/>
    <w:rsid w:val="4412446A"/>
    <w:rsid w:val="4413082D"/>
    <w:rsid w:val="442D7CF1"/>
    <w:rsid w:val="443304A8"/>
    <w:rsid w:val="445E34DA"/>
    <w:rsid w:val="4497145E"/>
    <w:rsid w:val="44DC5AB6"/>
    <w:rsid w:val="44F23A49"/>
    <w:rsid w:val="45D15DD7"/>
    <w:rsid w:val="46103453"/>
    <w:rsid w:val="46BD0F24"/>
    <w:rsid w:val="46F5421F"/>
    <w:rsid w:val="479650AA"/>
    <w:rsid w:val="47A74EBD"/>
    <w:rsid w:val="4803505C"/>
    <w:rsid w:val="48186F3E"/>
    <w:rsid w:val="485F2ECC"/>
    <w:rsid w:val="49114B8B"/>
    <w:rsid w:val="4934740F"/>
    <w:rsid w:val="493F6338"/>
    <w:rsid w:val="495A0D2B"/>
    <w:rsid w:val="49A534E2"/>
    <w:rsid w:val="49AE0853"/>
    <w:rsid w:val="49CC2BDF"/>
    <w:rsid w:val="49F44C5D"/>
    <w:rsid w:val="4A3760A7"/>
    <w:rsid w:val="4A747A14"/>
    <w:rsid w:val="4AD21AF4"/>
    <w:rsid w:val="4AE404CC"/>
    <w:rsid w:val="4C1A71FA"/>
    <w:rsid w:val="4C4C5224"/>
    <w:rsid w:val="4C7721B5"/>
    <w:rsid w:val="4C9734D3"/>
    <w:rsid w:val="4CC2376C"/>
    <w:rsid w:val="4CEA24B3"/>
    <w:rsid w:val="4D295488"/>
    <w:rsid w:val="4D2A156C"/>
    <w:rsid w:val="4D344E5B"/>
    <w:rsid w:val="4D3925A5"/>
    <w:rsid w:val="4DC31040"/>
    <w:rsid w:val="4DD14F5F"/>
    <w:rsid w:val="4DD47CE0"/>
    <w:rsid w:val="4DD52FF7"/>
    <w:rsid w:val="4E1A059B"/>
    <w:rsid w:val="4E40026B"/>
    <w:rsid w:val="4EEF4B12"/>
    <w:rsid w:val="4F0C54EA"/>
    <w:rsid w:val="4F2768C8"/>
    <w:rsid w:val="4F445669"/>
    <w:rsid w:val="4F52428A"/>
    <w:rsid w:val="4FD3355F"/>
    <w:rsid w:val="4FE65048"/>
    <w:rsid w:val="4FF30A83"/>
    <w:rsid w:val="504C7418"/>
    <w:rsid w:val="505E457D"/>
    <w:rsid w:val="508532CC"/>
    <w:rsid w:val="50E772C9"/>
    <w:rsid w:val="50E94ADC"/>
    <w:rsid w:val="51096986"/>
    <w:rsid w:val="516677E2"/>
    <w:rsid w:val="51A90E22"/>
    <w:rsid w:val="51AB6549"/>
    <w:rsid w:val="51D8706C"/>
    <w:rsid w:val="524D008C"/>
    <w:rsid w:val="5269324B"/>
    <w:rsid w:val="52EE5A15"/>
    <w:rsid w:val="52FF511A"/>
    <w:rsid w:val="538C64C2"/>
    <w:rsid w:val="538E5015"/>
    <w:rsid w:val="53A7108B"/>
    <w:rsid w:val="53AD3CE4"/>
    <w:rsid w:val="5453568A"/>
    <w:rsid w:val="545958FE"/>
    <w:rsid w:val="547D6904"/>
    <w:rsid w:val="54840725"/>
    <w:rsid w:val="5495703C"/>
    <w:rsid w:val="54B459EA"/>
    <w:rsid w:val="54C57366"/>
    <w:rsid w:val="54DC4376"/>
    <w:rsid w:val="5510701F"/>
    <w:rsid w:val="55A45647"/>
    <w:rsid w:val="55E24503"/>
    <w:rsid w:val="56023F9F"/>
    <w:rsid w:val="56216F22"/>
    <w:rsid w:val="56352885"/>
    <w:rsid w:val="569A162A"/>
    <w:rsid w:val="56D3300B"/>
    <w:rsid w:val="57364CC8"/>
    <w:rsid w:val="574E4078"/>
    <w:rsid w:val="577B076B"/>
    <w:rsid w:val="57811068"/>
    <w:rsid w:val="580E15DF"/>
    <w:rsid w:val="581B523D"/>
    <w:rsid w:val="581D17F8"/>
    <w:rsid w:val="588F08C2"/>
    <w:rsid w:val="591312CC"/>
    <w:rsid w:val="591C3418"/>
    <w:rsid w:val="59220B10"/>
    <w:rsid w:val="59230345"/>
    <w:rsid w:val="59891E4E"/>
    <w:rsid w:val="59A75215"/>
    <w:rsid w:val="59F67BEB"/>
    <w:rsid w:val="5A8C2AE6"/>
    <w:rsid w:val="5A9A4E35"/>
    <w:rsid w:val="5AB60C96"/>
    <w:rsid w:val="5B0D044A"/>
    <w:rsid w:val="5B0E60D7"/>
    <w:rsid w:val="5B3109F5"/>
    <w:rsid w:val="5B3310C9"/>
    <w:rsid w:val="5B44356A"/>
    <w:rsid w:val="5BF82A61"/>
    <w:rsid w:val="5BFC2918"/>
    <w:rsid w:val="5C160025"/>
    <w:rsid w:val="5C8B5B86"/>
    <w:rsid w:val="5CB0535B"/>
    <w:rsid w:val="5CCB475A"/>
    <w:rsid w:val="5D116195"/>
    <w:rsid w:val="5D294756"/>
    <w:rsid w:val="5D423AA3"/>
    <w:rsid w:val="5D8B10BD"/>
    <w:rsid w:val="5D983F46"/>
    <w:rsid w:val="5DA86690"/>
    <w:rsid w:val="5DB26FC4"/>
    <w:rsid w:val="5DD97E52"/>
    <w:rsid w:val="5E781939"/>
    <w:rsid w:val="5E7C4E4F"/>
    <w:rsid w:val="5EA56310"/>
    <w:rsid w:val="5EC07524"/>
    <w:rsid w:val="5EC14D09"/>
    <w:rsid w:val="5EF21576"/>
    <w:rsid w:val="5F6F045B"/>
    <w:rsid w:val="5F943866"/>
    <w:rsid w:val="5F992786"/>
    <w:rsid w:val="5FB159A6"/>
    <w:rsid w:val="5FD4449A"/>
    <w:rsid w:val="601E0862"/>
    <w:rsid w:val="606E3EB4"/>
    <w:rsid w:val="60EB123D"/>
    <w:rsid w:val="60EC092C"/>
    <w:rsid w:val="614C2565"/>
    <w:rsid w:val="614C342F"/>
    <w:rsid w:val="61A312F4"/>
    <w:rsid w:val="61B7545C"/>
    <w:rsid w:val="61D05B58"/>
    <w:rsid w:val="62406358"/>
    <w:rsid w:val="625F3043"/>
    <w:rsid w:val="6260347E"/>
    <w:rsid w:val="62764A6F"/>
    <w:rsid w:val="62A32933"/>
    <w:rsid w:val="632B4DA6"/>
    <w:rsid w:val="63386176"/>
    <w:rsid w:val="635D6D5F"/>
    <w:rsid w:val="63967B1C"/>
    <w:rsid w:val="644803FF"/>
    <w:rsid w:val="64B3096E"/>
    <w:rsid w:val="64BF6F8C"/>
    <w:rsid w:val="651607C0"/>
    <w:rsid w:val="65202621"/>
    <w:rsid w:val="655D5387"/>
    <w:rsid w:val="656C745D"/>
    <w:rsid w:val="65A94A3A"/>
    <w:rsid w:val="65D74B1E"/>
    <w:rsid w:val="65E01371"/>
    <w:rsid w:val="65F46AE6"/>
    <w:rsid w:val="66191F2F"/>
    <w:rsid w:val="666C4525"/>
    <w:rsid w:val="66BB1A64"/>
    <w:rsid w:val="66D864EE"/>
    <w:rsid w:val="66FD66CD"/>
    <w:rsid w:val="6750316A"/>
    <w:rsid w:val="675F549A"/>
    <w:rsid w:val="678E0047"/>
    <w:rsid w:val="679108F5"/>
    <w:rsid w:val="68232198"/>
    <w:rsid w:val="68297D70"/>
    <w:rsid w:val="682D00FA"/>
    <w:rsid w:val="68A578B5"/>
    <w:rsid w:val="68C901BB"/>
    <w:rsid w:val="691E68F8"/>
    <w:rsid w:val="69221F24"/>
    <w:rsid w:val="6A1B23DD"/>
    <w:rsid w:val="6A7B707A"/>
    <w:rsid w:val="6B136E3A"/>
    <w:rsid w:val="6B583E82"/>
    <w:rsid w:val="6B7A4CA1"/>
    <w:rsid w:val="6BA35422"/>
    <w:rsid w:val="6BAA71D4"/>
    <w:rsid w:val="6BD17F16"/>
    <w:rsid w:val="6BF5575A"/>
    <w:rsid w:val="6C011060"/>
    <w:rsid w:val="6C050DBA"/>
    <w:rsid w:val="6C1D4583"/>
    <w:rsid w:val="6C517CA7"/>
    <w:rsid w:val="6C533E45"/>
    <w:rsid w:val="6C63697B"/>
    <w:rsid w:val="6CE40709"/>
    <w:rsid w:val="6CE43BD2"/>
    <w:rsid w:val="6D433682"/>
    <w:rsid w:val="6D73727A"/>
    <w:rsid w:val="6D756125"/>
    <w:rsid w:val="6DDB5F2F"/>
    <w:rsid w:val="6E5F2482"/>
    <w:rsid w:val="6EB65226"/>
    <w:rsid w:val="6FC476DE"/>
    <w:rsid w:val="6FD53CD5"/>
    <w:rsid w:val="6FDB386D"/>
    <w:rsid w:val="701B7EF3"/>
    <w:rsid w:val="70697652"/>
    <w:rsid w:val="70922889"/>
    <w:rsid w:val="709D1CA5"/>
    <w:rsid w:val="70E74812"/>
    <w:rsid w:val="71531123"/>
    <w:rsid w:val="717D7877"/>
    <w:rsid w:val="72296D6F"/>
    <w:rsid w:val="72430F2C"/>
    <w:rsid w:val="7280325F"/>
    <w:rsid w:val="72FC729F"/>
    <w:rsid w:val="732A24D6"/>
    <w:rsid w:val="73457832"/>
    <w:rsid w:val="735A734E"/>
    <w:rsid w:val="73904664"/>
    <w:rsid w:val="739843BB"/>
    <w:rsid w:val="74080B02"/>
    <w:rsid w:val="740C42FF"/>
    <w:rsid w:val="744B56A6"/>
    <w:rsid w:val="745953FC"/>
    <w:rsid w:val="748C0004"/>
    <w:rsid w:val="749F071F"/>
    <w:rsid w:val="74CB20C3"/>
    <w:rsid w:val="74CF1C9F"/>
    <w:rsid w:val="74E34AEA"/>
    <w:rsid w:val="74FC2410"/>
    <w:rsid w:val="750D1087"/>
    <w:rsid w:val="756305D4"/>
    <w:rsid w:val="762E1608"/>
    <w:rsid w:val="7662338F"/>
    <w:rsid w:val="766A686D"/>
    <w:rsid w:val="76796366"/>
    <w:rsid w:val="76A83190"/>
    <w:rsid w:val="76C64618"/>
    <w:rsid w:val="771D1131"/>
    <w:rsid w:val="78090150"/>
    <w:rsid w:val="780A1873"/>
    <w:rsid w:val="78327197"/>
    <w:rsid w:val="78897050"/>
    <w:rsid w:val="78AD5FED"/>
    <w:rsid w:val="79087CB2"/>
    <w:rsid w:val="791B2437"/>
    <w:rsid w:val="7971160E"/>
    <w:rsid w:val="79771A96"/>
    <w:rsid w:val="79BD4B3A"/>
    <w:rsid w:val="7A124529"/>
    <w:rsid w:val="7A460C55"/>
    <w:rsid w:val="7A646F3F"/>
    <w:rsid w:val="7B0923C3"/>
    <w:rsid w:val="7B24061A"/>
    <w:rsid w:val="7B333460"/>
    <w:rsid w:val="7B413F7E"/>
    <w:rsid w:val="7B4D7639"/>
    <w:rsid w:val="7BC50FEC"/>
    <w:rsid w:val="7BD75A22"/>
    <w:rsid w:val="7BFF6846"/>
    <w:rsid w:val="7C2A1C64"/>
    <w:rsid w:val="7C853EB6"/>
    <w:rsid w:val="7C8D7AF6"/>
    <w:rsid w:val="7CA901A9"/>
    <w:rsid w:val="7CD10ED8"/>
    <w:rsid w:val="7CDF511D"/>
    <w:rsid w:val="7D150954"/>
    <w:rsid w:val="7DA1585A"/>
    <w:rsid w:val="7DBF18A6"/>
    <w:rsid w:val="7E2A31D0"/>
    <w:rsid w:val="7E4D25B2"/>
    <w:rsid w:val="7E817970"/>
    <w:rsid w:val="7E8B290D"/>
    <w:rsid w:val="7EB77A2B"/>
    <w:rsid w:val="7EBB0200"/>
    <w:rsid w:val="7ECF2AA6"/>
    <w:rsid w:val="7ED303CC"/>
    <w:rsid w:val="7EED169F"/>
    <w:rsid w:val="7F213249"/>
    <w:rsid w:val="7F3B2A0C"/>
    <w:rsid w:val="7F40419D"/>
    <w:rsid w:val="7F511C2E"/>
    <w:rsid w:val="7F586A05"/>
    <w:rsid w:val="7F823EA7"/>
    <w:rsid w:val="7F8F1EB3"/>
    <w:rsid w:val="7FD71438"/>
    <w:rsid w:val="7FDD1FA4"/>
    <w:rsid w:val="7FF84E6E"/>
    <w:rsid w:val="FFFE0F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jc w:val="both"/>
    </w:pPr>
    <w:rPr>
      <w:rFonts w:ascii="Times New Roman" w:hAnsi="Times New Roman" w:eastAsia="仿宋" w:cstheme="minorBidi"/>
      <w:kern w:val="2"/>
      <w:sz w:val="28"/>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ind w:firstLine="0" w:firstLineChars="0"/>
      <w:jc w:val="center"/>
      <w:outlineLvl w:val="0"/>
    </w:pPr>
    <w:rPr>
      <w:rFonts w:eastAsia="宋体"/>
      <w:b/>
      <w:kern w:val="44"/>
      <w:sz w:val="44"/>
    </w:rPr>
  </w:style>
  <w:style w:type="paragraph" w:styleId="3">
    <w:name w:val="heading 2"/>
    <w:basedOn w:val="1"/>
    <w:next w:val="1"/>
    <w:unhideWhenUsed/>
    <w:qFormat/>
    <w:uiPriority w:val="0"/>
    <w:pPr>
      <w:keepNext/>
      <w:keepLines/>
      <w:spacing w:before="260" w:beforeAutospacing="0" w:after="260" w:afterAutospacing="0" w:line="360" w:lineRule="auto"/>
      <w:ind w:firstLine="0" w:firstLineChars="0"/>
      <w:outlineLvl w:val="1"/>
    </w:pPr>
    <w:rPr>
      <w:rFonts w:eastAsia="黑体"/>
      <w:b/>
      <w:sz w:val="32"/>
    </w:rPr>
  </w:style>
  <w:style w:type="paragraph" w:styleId="4">
    <w:name w:val="heading 3"/>
    <w:basedOn w:val="1"/>
    <w:next w:val="1"/>
    <w:unhideWhenUsed/>
    <w:qFormat/>
    <w:uiPriority w:val="0"/>
    <w:pPr>
      <w:keepNext/>
      <w:keepLines/>
      <w:spacing w:beforeLines="0" w:beforeAutospacing="0" w:afterLines="0" w:afterAutospacing="0" w:line="360" w:lineRule="auto"/>
      <w:ind w:firstLine="0" w:firstLineChars="0"/>
      <w:jc w:val="left"/>
      <w:outlineLvl w:val="2"/>
    </w:pPr>
    <w:rPr>
      <w:b/>
      <w:sz w:val="32"/>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1"/>
    <w:rPr>
      <w:rFonts w:ascii="宋体" w:hAnsi="宋体" w:eastAsia="宋体" w:cs="宋体"/>
      <w:sz w:val="24"/>
      <w:lang w:val="zh-CN" w:bidi="zh-CN"/>
    </w:r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font31"/>
    <w:basedOn w:val="13"/>
    <w:qFormat/>
    <w:uiPriority w:val="0"/>
    <w:rPr>
      <w:rFonts w:hint="eastAsia" w:ascii="仿宋" w:hAnsi="仿宋" w:eastAsia="仿宋" w:cs="仿宋"/>
      <w:b/>
      <w:bCs/>
      <w:color w:val="000000"/>
      <w:sz w:val="21"/>
      <w:szCs w:val="21"/>
      <w:u w:val="none"/>
    </w:rPr>
  </w:style>
  <w:style w:type="character" w:customStyle="1" w:styleId="15">
    <w:name w:val="font11"/>
    <w:basedOn w:val="13"/>
    <w:qFormat/>
    <w:uiPriority w:val="0"/>
    <w:rPr>
      <w:rFonts w:hint="default" w:ascii="Times New Roman" w:hAnsi="Times New Roman" w:cs="Times New Roman"/>
      <w:b/>
      <w:bCs/>
      <w:color w:val="000000"/>
      <w:sz w:val="21"/>
      <w:szCs w:val="21"/>
      <w:u w:val="none"/>
    </w:rPr>
  </w:style>
  <w:style w:type="character" w:customStyle="1" w:styleId="16">
    <w:name w:val="font21"/>
    <w:basedOn w:val="13"/>
    <w:qFormat/>
    <w:uiPriority w:val="0"/>
    <w:rPr>
      <w:rFonts w:hint="default" w:ascii="Times New Roman" w:hAnsi="Times New Roman" w:cs="Times New Roman"/>
      <w:b/>
      <w:bCs/>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wmf"/><Relationship Id="rId31" Type="http://schemas.openxmlformats.org/officeDocument/2006/relationships/oleObject" Target="embeddings/oleObject4.bin"/><Relationship Id="rId30" Type="http://schemas.openxmlformats.org/officeDocument/2006/relationships/image" Target="media/image13.wmf"/><Relationship Id="rId3" Type="http://schemas.openxmlformats.org/officeDocument/2006/relationships/footnotes" Target="footnotes.xml"/><Relationship Id="rId29" Type="http://schemas.openxmlformats.org/officeDocument/2006/relationships/oleObject" Target="embeddings/oleObject3.bin"/><Relationship Id="rId28" Type="http://schemas.openxmlformats.org/officeDocument/2006/relationships/image" Target="media/image12.jpeg"/><Relationship Id="rId27" Type="http://schemas.openxmlformats.org/officeDocument/2006/relationships/image" Target="media/image11.png"/><Relationship Id="rId26" Type="http://schemas.openxmlformats.org/officeDocument/2006/relationships/image" Target="media/image10.emf"/><Relationship Id="rId25" Type="http://schemas.openxmlformats.org/officeDocument/2006/relationships/oleObject" Target="embeddings/oleObject2.bin"/><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4.png"/><Relationship Id="rId17" Type="http://schemas.openxmlformats.org/officeDocument/2006/relationships/chart" Target="charts/chart8.xml"/><Relationship Id="rId16" Type="http://schemas.openxmlformats.org/officeDocument/2006/relationships/chart" Target="charts/chart7.xml"/><Relationship Id="rId15" Type="http://schemas.openxmlformats.org/officeDocument/2006/relationships/chart" Target="charts/chart6.xml"/><Relationship Id="rId14" Type="http://schemas.openxmlformats.org/officeDocument/2006/relationships/chart" Target="charts/chart5.xml"/><Relationship Id="rId13" Type="http://schemas.openxmlformats.org/officeDocument/2006/relationships/chart" Target="charts/chart4.xml"/><Relationship Id="rId12" Type="http://schemas.openxmlformats.org/officeDocument/2006/relationships/chart" Target="charts/chart3.xml"/><Relationship Id="rId11" Type="http://schemas.openxmlformats.org/officeDocument/2006/relationships/chart" Target="charts/chart2.xml"/><Relationship Id="rId10" Type="http://schemas.openxmlformats.org/officeDocument/2006/relationships/chart" Target="charts/chart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G:\&#36149;&#24030;&#29615;&#20043;&#28304;&#24037;&#31243;&#25216;&#26415;&#21672;&#35810;&#26377;&#38480;&#20844;&#21496;\&#24037;&#20316;\&#33410;&#33021;&#35780;&#20272;\&#21306;&#22495;&#33410;&#33021;\&#36149;&#24030;&#24320;&#38451;&#32463;&#27982;&#24320;&#21457;&#21306;&#65288;&#24320;&#38451;&#21439;&#24037;&#19994;&#22253;&#21306;&#65289;\&#36149;&#24030;&#24320;&#38451;&#32463;&#27982;&#24320;&#21457;&#21306;&#65288;&#24320;&#38451;&#21439;&#24037;&#19994;&#22253;&#21306;&#65289;\&#36865;&#23457;&#31295;\7&#12289;&#36149;&#24030;&#24320;&#38451;&#32463;&#27982;&#24320;&#21457;&#21306;&#65288;&#24320;&#38451;&#21439;&#24037;&#19994;&#22253;&#21306;&#65289;20220728.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G:\&#36149;&#24030;&#29615;&#20043;&#28304;&#24037;&#31243;&#25216;&#26415;&#21672;&#35810;&#26377;&#38480;&#20844;&#21496;\&#24037;&#20316;\&#33410;&#33021;&#35780;&#20272;\&#21306;&#22495;&#33410;&#33021;\&#36149;&#24030;&#24320;&#38451;&#32463;&#27982;&#24320;&#21457;&#21306;&#65288;&#24320;&#38451;&#21439;&#24037;&#19994;&#22253;&#21306;&#65289;\&#36149;&#24030;&#24320;&#38451;&#32463;&#27982;&#24320;&#21457;&#21306;&#65288;&#24320;&#38451;&#21439;&#24037;&#19994;&#22253;&#21306;&#65289;\&#36865;&#23457;&#31295;\7&#12289;&#36149;&#24030;&#24320;&#38451;&#32463;&#27982;&#24320;&#21457;&#21306;&#65288;&#24320;&#38451;&#21439;&#24037;&#19994;&#22253;&#21306;&#65289;20220728.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G:\&#36149;&#24030;&#29615;&#20043;&#28304;&#24037;&#31243;&#25216;&#26415;&#21672;&#35810;&#26377;&#38480;&#20844;&#21496;\&#24037;&#20316;\&#33410;&#33021;&#35780;&#20272;\&#21306;&#22495;&#33410;&#33021;\&#36149;&#24030;&#24320;&#38451;&#32463;&#27982;&#24320;&#21457;&#21306;&#65288;&#24320;&#38451;&#21439;&#24037;&#19994;&#22253;&#21306;&#65289;\&#36149;&#24030;&#24320;&#38451;&#32463;&#27982;&#24320;&#21457;&#21306;&#65288;&#24320;&#38451;&#21439;&#24037;&#19994;&#22253;&#21306;&#65289;\&#36865;&#23457;&#31295;\7&#12289;&#36149;&#24030;&#24320;&#38451;&#32463;&#27982;&#24320;&#21457;&#21306;&#65288;&#24320;&#38451;&#21439;&#24037;&#19994;&#22253;&#21306;&#65289;20220728.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H:\&#24037;&#20316;\&#36149;&#24030;&#29615;&#20043;&#28304;&#24037;&#31243;&#25216;&#26415;&#21672;&#35810;&#26377;&#38480;&#20844;&#21496;\&#33410;&#33021;&#35780;&#20272;\&#21306;&#22495;&#33410;&#33021;\&#36149;&#24030;&#24320;&#38451;&#32463;&#27982;&#24320;&#21457;&#21306;&#65288;&#24320;&#38451;&#21439;&#24037;&#19994;&#22253;&#21306;&#65289;\&#36149;&#24030;&#24320;&#38451;&#32463;&#27982;&#24320;&#21457;&#21306;&#65288;&#24320;&#38451;&#21439;&#24037;&#19994;&#22253;&#21306;&#65289;\&#36149;&#24030;&#24320;&#38451;&#32463;&#27982;&#24320;&#21457;&#21306;&#65288;&#24320;&#38451;&#21439;&#24037;&#19994;&#22253;&#21306;&#65289;.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H:\&#24037;&#20316;\&#36149;&#24030;&#29615;&#20043;&#28304;&#24037;&#31243;&#25216;&#26415;&#21672;&#35810;&#26377;&#38480;&#20844;&#21496;\&#33410;&#33021;&#35780;&#20272;\&#21306;&#22495;&#33410;&#33021;\&#36149;&#24030;&#24320;&#38451;&#32463;&#27982;&#24320;&#21457;&#21306;&#65288;&#24320;&#38451;&#21439;&#24037;&#19994;&#22253;&#21306;&#65289;\&#36149;&#24030;&#24320;&#38451;&#32463;&#27982;&#24320;&#21457;&#21306;&#65288;&#24320;&#38451;&#21439;&#24037;&#19994;&#22253;&#21306;&#65289;\&#36149;&#24030;&#24320;&#38451;&#32463;&#27982;&#24320;&#21457;&#21306;&#65288;&#24320;&#38451;&#21439;&#24037;&#19994;&#22253;&#21306;&#65289;.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H:\&#24037;&#20316;\&#36149;&#24030;&#29615;&#20043;&#28304;&#24037;&#31243;&#25216;&#26415;&#21672;&#35810;&#26377;&#38480;&#20844;&#21496;\&#33410;&#33021;&#35780;&#20272;\&#21306;&#22495;&#33410;&#33021;\&#36149;&#24030;&#24320;&#38451;&#32463;&#27982;&#24320;&#21457;&#21306;&#65288;&#24320;&#38451;&#21439;&#24037;&#19994;&#22253;&#21306;&#65289;\&#36149;&#24030;&#24320;&#38451;&#32463;&#27982;&#24320;&#21457;&#21306;&#65288;&#24320;&#38451;&#21439;&#24037;&#19994;&#22253;&#21306;&#65289;\&#36149;&#24030;&#24320;&#38451;&#32463;&#27982;&#24320;&#21457;&#21306;&#65288;&#24320;&#38451;&#21439;&#24037;&#19994;&#22253;&#21306;&#65289;.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H:\&#24037;&#20316;\&#36149;&#24030;&#29615;&#20043;&#28304;&#24037;&#31243;&#25216;&#26415;&#21672;&#35810;&#26377;&#38480;&#20844;&#21496;\&#33410;&#33021;&#35780;&#20272;\&#21306;&#22495;&#33410;&#33021;\&#36149;&#24030;&#24320;&#38451;&#32463;&#27982;&#24320;&#21457;&#21306;&#65288;&#24320;&#38451;&#21439;&#24037;&#19994;&#22253;&#21306;&#65289;\&#36149;&#24030;&#24320;&#38451;&#32463;&#27982;&#24320;&#21457;&#21306;&#65288;&#24320;&#38451;&#21439;&#24037;&#19994;&#22253;&#21306;&#65289;\&#36149;&#24030;&#24320;&#38451;&#32463;&#27982;&#24320;&#21457;&#21306;&#65288;&#24320;&#38451;&#21439;&#24037;&#19994;&#22253;&#21306;&#65289;.xlsx" TargetMode="External"/></Relationships>
</file>

<file path=word/charts/_rels/chart8.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G:\&#36149;&#24030;&#29615;&#20043;&#28304;&#24037;&#31243;&#25216;&#26415;&#21672;&#35810;&#26377;&#38480;&#20844;&#21496;\&#24037;&#20316;\&#33410;&#33021;&#35780;&#20272;\&#21306;&#22495;&#33410;&#33021;\&#36149;&#24030;&#24320;&#38451;&#32463;&#27982;&#24320;&#21457;&#21306;&#65288;&#24320;&#38451;&#21439;&#24037;&#19994;&#22253;&#21306;&#65289;\&#36149;&#24030;&#24320;&#38451;&#32463;&#27982;&#24320;&#21457;&#21306;&#65288;&#24320;&#38451;&#21439;&#24037;&#19994;&#22253;&#21306;&#65289;\&#36865;&#23457;&#31295;\7&#12289;&#36149;&#24030;&#24320;&#38451;&#32463;&#27982;&#24320;&#21457;&#21306;&#65288;&#24320;&#38451;&#21439;&#24037;&#19994;&#22253;&#21306;&#65289;2022072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289877699714"/>
          <c:y val="0.262420382165605"/>
          <c:w val="0.852432995055946"/>
          <c:h val="0.587133757961783"/>
        </c:manualLayout>
      </c:layout>
      <c:lineChart>
        <c:grouping val="standard"/>
        <c:varyColors val="0"/>
        <c:ser>
          <c:idx val="0"/>
          <c:order val="0"/>
          <c:tx>
            <c:strRef>
              <c:f>'[7、贵州开阳经济开发区（开阳县工业园区）20220728.xlsx]用能预测'!$E$3</c:f>
              <c:strCache>
                <c:ptCount val="1"/>
                <c:pt idx="0">
                  <c:v>工业企业产值（万元）</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elete val="1"/>
          </c:dLbls>
          <c:cat>
            <c:strRef>
              <c:f>'[7、贵州开阳经济开发区（开阳县工业园区）20220728.xlsx]用能预测'!$D$4:$D$6</c:f>
              <c:strCache>
                <c:ptCount val="3"/>
                <c:pt idx="0">
                  <c:v>2018年</c:v>
                </c:pt>
                <c:pt idx="1">
                  <c:v>2019年</c:v>
                </c:pt>
                <c:pt idx="2">
                  <c:v>2020年</c:v>
                </c:pt>
              </c:strCache>
            </c:strRef>
          </c:cat>
          <c:val>
            <c:numRef>
              <c:f>'[7、贵州开阳经济开发区（开阳县工业园区）20220728.xlsx]用能预测'!$E$4:$E$6</c:f>
              <c:numCache>
                <c:formatCode>General</c:formatCode>
                <c:ptCount val="3"/>
                <c:pt idx="0">
                  <c:v>1942863.62</c:v>
                </c:pt>
                <c:pt idx="1">
                  <c:v>1427933.29</c:v>
                </c:pt>
                <c:pt idx="2">
                  <c:v>1074339.88</c:v>
                </c:pt>
              </c:numCache>
            </c:numRef>
          </c:val>
          <c:smooth val="1"/>
        </c:ser>
        <c:ser>
          <c:idx val="1"/>
          <c:order val="1"/>
          <c:tx>
            <c:strRef>
              <c:f>'[7、贵州开阳经济开发区（开阳县工业园区）20220728.xlsx]用能预测'!$F$3</c:f>
              <c:strCache>
                <c:ptCount val="1"/>
                <c:pt idx="0">
                  <c:v>工业企业增加值（万元）</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elete val="1"/>
          </c:dLbls>
          <c:cat>
            <c:strRef>
              <c:f>'[7、贵州开阳经济开发区（开阳县工业园区）20220728.xlsx]用能预测'!$D$4:$D$6</c:f>
              <c:strCache>
                <c:ptCount val="3"/>
                <c:pt idx="0">
                  <c:v>2018年</c:v>
                </c:pt>
                <c:pt idx="1">
                  <c:v>2019年</c:v>
                </c:pt>
                <c:pt idx="2">
                  <c:v>2020年</c:v>
                </c:pt>
              </c:strCache>
            </c:strRef>
          </c:cat>
          <c:val>
            <c:numRef>
              <c:f>'[7、贵州开阳经济开发区（开阳县工业园区）20220728.xlsx]用能预测'!$F$4:$F$6</c:f>
              <c:numCache>
                <c:formatCode>General</c:formatCode>
                <c:ptCount val="3"/>
                <c:pt idx="0">
                  <c:v>524573.18</c:v>
                </c:pt>
                <c:pt idx="1">
                  <c:v>389825.79</c:v>
                </c:pt>
                <c:pt idx="2">
                  <c:v>297919.66</c:v>
                </c:pt>
              </c:numCache>
            </c:numRef>
          </c:val>
          <c:smooth val="1"/>
        </c:ser>
        <c:dLbls>
          <c:showLegendKey val="0"/>
          <c:showVal val="0"/>
          <c:showCatName val="0"/>
          <c:showSerName val="0"/>
          <c:showPercent val="0"/>
          <c:showBubbleSize val="0"/>
        </c:dLbls>
        <c:marker val="1"/>
        <c:smooth val="1"/>
        <c:axId val="867141316"/>
        <c:axId val="520692138"/>
      </c:lineChart>
      <c:catAx>
        <c:axId val="8671413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200" b="0" i="0" u="none" strike="noStrike" kern="1200" cap="all" spc="120" normalizeH="0" baseline="0">
                <a:solidFill>
                  <a:schemeClr val="tx1">
                    <a:lumMod val="65000"/>
                    <a:lumOff val="35000"/>
                  </a:schemeClr>
                </a:solidFill>
                <a:latin typeface="+mn-lt"/>
                <a:ea typeface="+mn-ea"/>
                <a:cs typeface="+mn-cs"/>
              </a:defRPr>
            </a:pPr>
          </a:p>
        </c:txPr>
        <c:crossAx val="520692138"/>
        <c:crosses val="autoZero"/>
        <c:auto val="1"/>
        <c:lblAlgn val="ctr"/>
        <c:lblOffset val="100"/>
        <c:noMultiLvlLbl val="0"/>
      </c:catAx>
      <c:valAx>
        <c:axId val="52069213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0"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p>
        </c:txPr>
        <c:crossAx val="867141316"/>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zh-CN" sz="1200"/>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800" b="1" i="0" u="none" strike="noStrike" kern="1200" baseline="0">
              <a:solidFill>
                <a:schemeClr val="dk1">
                  <a:lumMod val="75000"/>
                  <a:lumOff val="25000"/>
                </a:schemeClr>
              </a:solidFill>
              <a:latin typeface="+mn-lt"/>
              <a:ea typeface="+mn-ea"/>
              <a:cs typeface="+mn-cs"/>
            </a:defRPr>
          </a:pPr>
        </a:p>
      </c:txPr>
    </c:title>
    <c:autoTitleDeleted val="0"/>
    <c:plotArea>
      <c:layout/>
      <c:barChart>
        <c:barDir val="col"/>
        <c:grouping val="clustered"/>
        <c:varyColors val="0"/>
        <c:ser>
          <c:idx val="0"/>
          <c:order val="0"/>
          <c:tx>
            <c:strRef>
              <c:f>'[7、贵州开阳经济开发区（开阳县工业园区）20220728.xlsx]用能预测'!$E$9</c:f>
              <c:strCache>
                <c:ptCount val="1"/>
                <c:pt idx="0">
                  <c:v>能源消费量（tce）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'[7、贵州开阳经济开发区（开阳县工业园区）20220728.xlsx]用能预测'!$D$10:$D$12</c:f>
              <c:strCache>
                <c:ptCount val="3"/>
                <c:pt idx="0">
                  <c:v>2018年</c:v>
                </c:pt>
                <c:pt idx="1">
                  <c:v>2019年</c:v>
                </c:pt>
                <c:pt idx="2">
                  <c:v>2020年</c:v>
                </c:pt>
              </c:strCache>
            </c:strRef>
          </c:cat>
          <c:val>
            <c:numRef>
              <c:f>'[7、贵州开阳经济开发区（开阳县工业园区）20220728.xlsx]用能预测'!$E$10:$E$12</c:f>
              <c:numCache>
                <c:formatCode>General</c:formatCode>
                <c:ptCount val="3"/>
                <c:pt idx="0">
                  <c:v>2662111.73</c:v>
                </c:pt>
                <c:pt idx="1">
                  <c:v>1886442.67</c:v>
                </c:pt>
                <c:pt idx="2">
                  <c:v>1354198.46</c:v>
                </c:pt>
              </c:numCache>
            </c:numRef>
          </c:val>
        </c:ser>
        <c:dLbls>
          <c:showLegendKey val="0"/>
          <c:showVal val="1"/>
          <c:showCatName val="0"/>
          <c:showSerName val="0"/>
          <c:showPercent val="0"/>
          <c:showBubbleSize val="0"/>
        </c:dLbls>
        <c:gapWidth val="65"/>
        <c:overlap val="0"/>
        <c:axId val="712862543"/>
        <c:axId val="569080871"/>
      </c:barChart>
      <c:catAx>
        <c:axId val="712862543"/>
        <c:scaling>
          <c:orientation val="minMax"/>
        </c:scaling>
        <c:delete val="0"/>
        <c:axPos val="b"/>
        <c:majorTickMark val="none"/>
        <c:minorTickMark val="none"/>
        <c:tickLblPos val="nextTo"/>
        <c:spPr>
          <a:noFill/>
          <a:ln w="19050" cap="flat" cmpd="sng" algn="ctr">
            <a:solidFill>
              <a:schemeClr val="dk1">
                <a:lumMod val="75000"/>
                <a:lumOff val="25000"/>
              </a:schemeClr>
            </a:solidFill>
            <a:round/>
          </a:ln>
          <a:effectLst/>
        </c:spPr>
        <c:txPr>
          <a:bodyPr rot="-60000000" spcFirstLastPara="0"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569080871"/>
        <c:crosses val="autoZero"/>
        <c:auto val="1"/>
        <c:lblAlgn val="ctr"/>
        <c:lblOffset val="100"/>
        <c:noMultiLvlLbl val="0"/>
      </c:catAx>
      <c:valAx>
        <c:axId val="569080871"/>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crossAx val="712862543"/>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500" b="1" i="0" u="none" strike="noStrike" kern="1200" cap="all" spc="100" normalizeH="0" baseline="0">
                <a:solidFill>
                  <a:schemeClr val="lt1"/>
                </a:solidFill>
                <a:latin typeface="+mn-lt"/>
                <a:ea typeface="+mn-ea"/>
                <a:cs typeface="+mn-cs"/>
              </a:defRPr>
            </a:pPr>
            <a:r>
              <a:t>单位工业增加值能耗（吨标准煤/万元）</a:t>
            </a:r>
          </a:p>
        </c:rich>
      </c:tx>
      <c:layout/>
      <c:overlay val="0"/>
      <c:spPr>
        <a:noFill/>
        <a:ln>
          <a:noFill/>
        </a:ln>
        <a:effectLst/>
      </c:spPr>
    </c:title>
    <c:autoTitleDeleted val="0"/>
    <c:plotArea>
      <c:layout/>
      <c:lineChart>
        <c:grouping val="standard"/>
        <c:varyColors val="0"/>
        <c:ser>
          <c:idx val="0"/>
          <c:order val="0"/>
          <c:tx>
            <c:strRef>
              <c:f>'[7、贵州开阳经济开发区（开阳县工业园区）20220728.xlsx]用能预测'!$F$9</c:f>
              <c:strCache>
                <c:ptCount val="1"/>
                <c:pt idx="0">
                  <c:v>单位工业增加值能耗（tce/万元）</c:v>
                </c:pt>
              </c:strCache>
            </c:strRef>
          </c:tx>
          <c:spPr>
            <a:ln w="25400" cap="rnd">
              <a:solidFill>
                <a:schemeClr val="lt1"/>
              </a:solidFill>
              <a:round/>
            </a:ln>
            <a:effectLst>
              <a:outerShdw dist="25400" dir="2700000" algn="tl" rotWithShape="0">
                <a:schemeClr val="accent1"/>
              </a:outerShdw>
            </a:effectLst>
          </c:spPr>
          <c:marker>
            <c:symbol val="none"/>
          </c:marker>
          <c:dLbls>
            <c:spPr>
              <a:solidFill>
                <a:schemeClr val="accent1"/>
              </a:solid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accent1">
                          <a:lumMod val="60000"/>
                          <a:lumOff val="40000"/>
                        </a:schemeClr>
                      </a:solidFill>
                    </a:ln>
                    <a:effectLst/>
                  </c:spPr>
                </c15:leaderLines>
              </c:ext>
            </c:extLst>
          </c:dLbls>
          <c:cat>
            <c:strRef>
              <c:f>'[7、贵州开阳经济开发区（开阳县工业园区）20220728.xlsx]用能预测'!$D$10:$D$12</c:f>
              <c:strCache>
                <c:ptCount val="3"/>
                <c:pt idx="0">
                  <c:v>2018年</c:v>
                </c:pt>
                <c:pt idx="1">
                  <c:v>2019年</c:v>
                </c:pt>
                <c:pt idx="2">
                  <c:v>2020年</c:v>
                </c:pt>
              </c:strCache>
            </c:strRef>
          </c:cat>
          <c:val>
            <c:numRef>
              <c:f>'[7、贵州开阳经济开发区（开阳县工业园区）20220728.xlsx]用能预测'!$F$10:$F$12</c:f>
              <c:numCache>
                <c:formatCode>General</c:formatCode>
                <c:ptCount val="3"/>
                <c:pt idx="0">
                  <c:v>5.0748</c:v>
                </c:pt>
                <c:pt idx="1">
                  <c:v>4.8392</c:v>
                </c:pt>
                <c:pt idx="2">
                  <c:v>4.5455</c:v>
                </c:pt>
              </c:numCache>
            </c:numRef>
          </c:val>
          <c:smooth val="0"/>
        </c:ser>
        <c:dLbls>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marker val="0"/>
        <c:smooth val="0"/>
        <c:axId val="989230136"/>
        <c:axId val="654026349"/>
      </c:lineChart>
      <c:catAx>
        <c:axId val="989230136"/>
        <c:scaling>
          <c:orientation val="minMax"/>
        </c:scaling>
        <c:delete val="0"/>
        <c:axPos val="b"/>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spc="30" baseline="0">
                <a:solidFill>
                  <a:schemeClr val="lt1"/>
                </a:solidFill>
                <a:latin typeface="+mn-lt"/>
                <a:ea typeface="+mn-ea"/>
                <a:cs typeface="+mn-cs"/>
              </a:defRPr>
            </a:pPr>
          </a:p>
        </c:txPr>
        <c:crossAx val="654026349"/>
        <c:crosses val="autoZero"/>
        <c:auto val="1"/>
        <c:lblAlgn val="ctr"/>
        <c:lblOffset val="100"/>
        <c:noMultiLvlLbl val="0"/>
      </c:catAx>
      <c:valAx>
        <c:axId val="654026349"/>
        <c:scaling>
          <c:orientation val="minMax"/>
        </c:scaling>
        <c:delete val="1"/>
        <c:axPos val="l"/>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lt1"/>
                </a:solidFill>
                <a:latin typeface="+mn-lt"/>
                <a:ea typeface="+mn-ea"/>
                <a:cs typeface="+mn-cs"/>
              </a:defRPr>
            </a:pPr>
          </a:p>
        </c:txPr>
        <c:crossAx val="989230136"/>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lt1">
          <a:lumMod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'[贵州开阳经济开发区（开阳县工业园区）.xlsx]规上企业数据整理'!$D$65</c:f>
              <c:strCache>
                <c:ptCount val="1"/>
                <c:pt idx="0">
                  <c:v>2020年产值（万元）</c:v>
                </c:pt>
              </c:strCache>
            </c:strRef>
          </c:tx>
          <c:spPr>
            <a:solidFill>
              <a:schemeClr val="accent1">
                <a:alpha val="85000"/>
              </a:schemeClr>
            </a:solidFill>
            <a:ln w="9525" cap="flat" cmpd="sng" algn="ctr">
              <a:solidFill>
                <a:schemeClr val="lt1">
                  <a:alpha val="50000"/>
                </a:schemeClr>
              </a:solidFill>
              <a:round/>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'[贵州开阳经济开发区（开阳县工业园区）.xlsx]规上企业数据整理'!$C$66:$C$72</c:f>
              <c:strCache>
                <c:ptCount val="7"/>
                <c:pt idx="0">
                  <c:v>磷系新材料</c:v>
                </c:pt>
                <c:pt idx="1">
                  <c:v>氯碱化工</c:v>
                </c:pt>
                <c:pt idx="2">
                  <c:v>储能产业</c:v>
                </c:pt>
                <c:pt idx="3">
                  <c:v>铝基新材料</c:v>
                </c:pt>
                <c:pt idx="4">
                  <c:v>新型建材</c:v>
                </c:pt>
                <c:pt idx="5">
                  <c:v>特色农产品</c:v>
                </c:pt>
                <c:pt idx="6">
                  <c:v>其他</c:v>
                </c:pt>
              </c:strCache>
            </c:strRef>
          </c:cat>
          <c:val>
            <c:numRef>
              <c:f>'[贵州开阳经济开发区（开阳县工业园区）.xlsx]规上企业数据整理'!$D$66:$D$72</c:f>
              <c:numCache>
                <c:formatCode>General</c:formatCode>
                <c:ptCount val="7"/>
                <c:pt idx="0">
                  <c:v>883983.74</c:v>
                </c:pt>
                <c:pt idx="1">
                  <c:v>10991</c:v>
                </c:pt>
                <c:pt idx="2">
                  <c:v>66850</c:v>
                </c:pt>
                <c:pt idx="3">
                  <c:v>17771.7</c:v>
                </c:pt>
                <c:pt idx="4">
                  <c:v>41115.4</c:v>
                </c:pt>
                <c:pt idx="5">
                  <c:v>6926.6</c:v>
                </c:pt>
                <c:pt idx="6">
                  <c:v>46701.44</c:v>
                </c:pt>
              </c:numCache>
            </c:numRef>
          </c:val>
        </c:ser>
        <c:ser>
          <c:idx val="1"/>
          <c:order val="1"/>
          <c:tx>
            <c:strRef>
              <c:f>'[贵州开阳经济开发区（开阳县工业园区）.xlsx]规上企业数据整理'!$F$65</c:f>
              <c:strCache>
                <c:ptCount val="1"/>
                <c:pt idx="0">
                  <c:v>2020年增加值（万元）</c:v>
                </c:pt>
              </c:strCache>
            </c:strRef>
          </c:tx>
          <c:spPr>
            <a:solidFill>
              <a:schemeClr val="accent2">
                <a:alpha val="85000"/>
              </a:schemeClr>
            </a:solidFill>
            <a:ln w="9525" cap="flat" cmpd="sng" algn="ctr">
              <a:solidFill>
                <a:schemeClr val="lt1">
                  <a:alpha val="50000"/>
                </a:schemeClr>
              </a:solidFill>
              <a:round/>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'[贵州开阳经济开发区（开阳县工业园区）.xlsx]规上企业数据整理'!$C$66:$C$72</c:f>
              <c:strCache>
                <c:ptCount val="7"/>
                <c:pt idx="0">
                  <c:v>磷系新材料</c:v>
                </c:pt>
                <c:pt idx="1">
                  <c:v>氯碱化工</c:v>
                </c:pt>
                <c:pt idx="2">
                  <c:v>储能产业</c:v>
                </c:pt>
                <c:pt idx="3">
                  <c:v>铝基新材料</c:v>
                </c:pt>
                <c:pt idx="4">
                  <c:v>新型建材</c:v>
                </c:pt>
                <c:pt idx="5">
                  <c:v>特色农产品</c:v>
                </c:pt>
                <c:pt idx="6">
                  <c:v>其他</c:v>
                </c:pt>
              </c:strCache>
            </c:strRef>
          </c:cat>
          <c:val>
            <c:numRef>
              <c:f>'[贵州开阳经济开发区（开阳县工业园区）.xlsx]规上企业数据整理'!$F$66:$F$72</c:f>
              <c:numCache>
                <c:formatCode>General</c:formatCode>
                <c:ptCount val="7"/>
                <c:pt idx="0">
                  <c:v>248230.86</c:v>
                </c:pt>
                <c:pt idx="1">
                  <c:v>3302.8</c:v>
                </c:pt>
                <c:pt idx="2">
                  <c:v>20088.41</c:v>
                </c:pt>
                <c:pt idx="3">
                  <c:v>2841.69</c:v>
                </c:pt>
                <c:pt idx="4">
                  <c:v>10405.03</c:v>
                </c:pt>
                <c:pt idx="5">
                  <c:v>1183.02</c:v>
                </c:pt>
                <c:pt idx="6">
                  <c:v>11867.85</c:v>
                </c:pt>
              </c:numCache>
            </c:numRef>
          </c:val>
        </c:ser>
        <c:dLbls>
          <c:showLegendKey val="0"/>
          <c:showVal val="1"/>
          <c:showCatName val="0"/>
          <c:showSerName val="0"/>
          <c:showPercent val="0"/>
          <c:showBubbleSize val="0"/>
        </c:dLbls>
        <c:gapWidth val="150"/>
        <c:overlap val="100"/>
        <c:axId val="457836651"/>
        <c:axId val="797253863"/>
      </c:barChart>
      <c:catAx>
        <c:axId val="457836651"/>
        <c:scaling>
          <c:orientation val="minMax"/>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0"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797253863"/>
        <c:crosses val="autoZero"/>
        <c:auto val="1"/>
        <c:lblAlgn val="ctr"/>
        <c:lblOffset val="100"/>
        <c:noMultiLvlLbl val="0"/>
      </c:catAx>
      <c:valAx>
        <c:axId val="797253863"/>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crossAx val="457836651"/>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'[贵州开阳经济开发区（开阳县工业园区）.xlsx]规上企业数据整理'!$E$65</c:f>
              <c:strCache>
                <c:ptCount val="1"/>
                <c:pt idx="0">
                  <c:v>产值占比（%）</c:v>
                </c:pt>
              </c:strCache>
            </c:strRef>
          </c:tx>
          <c:spPr/>
          <c:explosion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Pt>
            <c:idx val="6"/>
            <c:bubble3D val="0"/>
            <c:spPr>
              <a:solidFill>
                <a:schemeClr val="accent1">
                  <a:lumMod val="60000"/>
                </a:schemeClr>
              </a:solidFill>
              <a:ln>
                <a:noFill/>
              </a:ln>
              <a:effectLst>
                <a:outerShdw blurRad="254000" sx="102000" sy="102000" algn="ctr" rotWithShape="0">
                  <a:prstClr val="black">
                    <a:alpha val="20000"/>
                  </a:prstClr>
                </a:outerShdw>
              </a:effectLst>
            </c:spPr>
          </c:dPt>
          <c:dLbls>
            <c:dLbl>
              <c:idx val="0"/>
              <c:layout>
                <c:manualLayout>
                  <c:x val="0.185"/>
                  <c:y val="-0.0333333333333333"/>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183333333333333"/>
                  <c:y val="0.286111111111111"/>
                </c:manualLayout>
              </c:layou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196666666666667"/>
                  <c:y val="0.161111111111111"/>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0316666666666667"/>
                  <c:y val="0.186111111111111"/>
                </c:manualLayout>
              </c:layou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0.0933333333333333"/>
                  <c:y val="0.144444444444444"/>
                </c:manualLayout>
              </c:layou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0.275"/>
                  <c:y val="0.105555555555556"/>
                </c:manualLayout>
              </c:layou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0.218333333333333"/>
                  <c:y val="-0.0583333333333333"/>
                </c:manualLayout>
              </c:layout>
              <c:showLegendKey val="0"/>
              <c:showVal val="0"/>
              <c:showCatName val="0"/>
              <c:showSerName val="0"/>
              <c:showPercent val="1"/>
              <c:showBubbleSize val="0"/>
              <c:extLst>
                <c:ext xmlns:c15="http://schemas.microsoft.com/office/drawing/2012/chart" uri="{CE6537A1-D6FC-4f65-9D91-7224C49458BB}">
                  <c15:layout/>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'[贵州开阳经济开发区（开阳县工业园区）.xlsx]规上企业数据整理'!$C$66:$C$72</c:f>
              <c:strCache>
                <c:ptCount val="7"/>
                <c:pt idx="0">
                  <c:v>磷系新材料</c:v>
                </c:pt>
                <c:pt idx="1">
                  <c:v>氯碱化工</c:v>
                </c:pt>
                <c:pt idx="2">
                  <c:v>储能产业</c:v>
                </c:pt>
                <c:pt idx="3">
                  <c:v>铝基新材料</c:v>
                </c:pt>
                <c:pt idx="4">
                  <c:v>新型建材</c:v>
                </c:pt>
                <c:pt idx="5">
                  <c:v>特色农产品</c:v>
                </c:pt>
                <c:pt idx="6">
                  <c:v>其他</c:v>
                </c:pt>
              </c:strCache>
            </c:strRef>
          </c:cat>
          <c:val>
            <c:numRef>
              <c:f>'[贵州开阳经济开发区（开阳县工业园区）.xlsx]规上企业数据整理'!$E$66:$E$72</c:f>
              <c:numCache>
                <c:formatCode>General</c:formatCode>
                <c:ptCount val="7"/>
                <c:pt idx="0">
                  <c:v>82.28</c:v>
                </c:pt>
                <c:pt idx="1">
                  <c:v>1.02</c:v>
                </c:pt>
                <c:pt idx="2">
                  <c:v>6.22</c:v>
                </c:pt>
                <c:pt idx="3">
                  <c:v>1.65</c:v>
                </c:pt>
                <c:pt idx="4">
                  <c:v>3.83</c:v>
                </c:pt>
                <c:pt idx="5">
                  <c:v>0.64</c:v>
                </c:pt>
                <c:pt idx="6">
                  <c:v>4.35</c:v>
                </c:pt>
              </c:numCache>
            </c:numRef>
          </c:val>
        </c:ser>
        <c:ser>
          <c:idx val="1"/>
          <c:order val="1"/>
          <c:tx>
            <c:strRef>
              <c:f>'[贵州开阳经济开发区（开阳县工业园区）.xlsx]规上企业数据整理'!$G$65</c:f>
              <c:strCache>
                <c:ptCount val="1"/>
                <c:pt idx="0">
                  <c:v>增加值占比（%）</c:v>
                </c:pt>
              </c:strCache>
            </c:strRef>
          </c:tx>
          <c:spPr/>
          <c:explosion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Pt>
            <c:idx val="6"/>
            <c:bubble3D val="0"/>
            <c:spPr>
              <a:solidFill>
                <a:schemeClr val="accent1">
                  <a:lumMod val="60000"/>
                </a:schemeClr>
              </a:solidFill>
              <a:ln>
                <a:noFill/>
              </a:ln>
              <a:effectLst>
                <a:outerShdw blurRad="254000" sx="102000" sy="102000" algn="ctr" rotWithShape="0">
                  <a:prstClr val="black">
                    <a:alpha val="20000"/>
                  </a:prstClr>
                </a:outerShdw>
              </a:effectLst>
            </c:spPr>
          </c:dPt>
          <c:dLbls>
            <c:dLbl>
              <c:idx val="0"/>
              <c:layout>
                <c:manualLayout>
                  <c:x val="0.055"/>
                  <c:y val="0.0944444444444444"/>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133333333333333"/>
                  <c:y val="0.0111111111111111"/>
                </c:manualLayout>
              </c:layou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108333333333333"/>
                  <c:y val="-0.0305555555555556"/>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0933333333333333"/>
                  <c:y val="-0.0638888888888889"/>
                </c:manualLayout>
              </c:layou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0.08"/>
                  <c:y val="-0.119444444444444"/>
                </c:manualLayout>
              </c:layou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0.025"/>
                  <c:y val="-0.147222222222222"/>
                </c:manualLayout>
              </c:layou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0.095"/>
                  <c:y val="-0.0916666666666667"/>
                </c:manualLayout>
              </c:layout>
              <c:showLegendKey val="0"/>
              <c:showVal val="0"/>
              <c:showCatName val="0"/>
              <c:showSerName val="0"/>
              <c:showPercent val="1"/>
              <c:showBubbleSize val="0"/>
              <c:extLst>
                <c:ext xmlns:c15="http://schemas.microsoft.com/office/drawing/2012/chart" uri="{CE6537A1-D6FC-4f65-9D91-7224C49458BB}">
                  <c15:layout/>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'[贵州开阳经济开发区（开阳县工业园区）.xlsx]规上企业数据整理'!$C$66:$C$72</c:f>
              <c:strCache>
                <c:ptCount val="7"/>
                <c:pt idx="0">
                  <c:v>磷系新材料</c:v>
                </c:pt>
                <c:pt idx="1">
                  <c:v>氯碱化工</c:v>
                </c:pt>
                <c:pt idx="2">
                  <c:v>储能产业</c:v>
                </c:pt>
                <c:pt idx="3">
                  <c:v>铝基新材料</c:v>
                </c:pt>
                <c:pt idx="4">
                  <c:v>新型建材</c:v>
                </c:pt>
                <c:pt idx="5">
                  <c:v>特色农产品</c:v>
                </c:pt>
                <c:pt idx="6">
                  <c:v>其他</c:v>
                </c:pt>
              </c:strCache>
            </c:strRef>
          </c:cat>
          <c:val>
            <c:numRef>
              <c:f>'[贵州开阳经济开发区（开阳县工业园区）.xlsx]规上企业数据整理'!$G$66:$G$72</c:f>
              <c:numCache>
                <c:formatCode>General</c:formatCode>
                <c:ptCount val="7"/>
                <c:pt idx="0">
                  <c:v>83.32</c:v>
                </c:pt>
                <c:pt idx="1">
                  <c:v>1.11</c:v>
                </c:pt>
                <c:pt idx="2">
                  <c:v>6.74</c:v>
                </c:pt>
                <c:pt idx="3">
                  <c:v>0.95</c:v>
                </c:pt>
                <c:pt idx="4">
                  <c:v>3.49</c:v>
                </c:pt>
                <c:pt idx="5">
                  <c:v>0.4</c:v>
                </c:pt>
                <c:pt idx="6">
                  <c:v>3.98</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'[贵州开阳经济开发区（开阳县工业园区）.xlsx]规上企业数据整理'!$F$79</c:f>
              <c:strCache>
                <c:ptCount val="1"/>
                <c:pt idx="0">
                  <c:v>2020年能耗（tce）</c:v>
                </c:pt>
              </c:strCache>
            </c:strRef>
          </c:tx>
          <c:spPr/>
          <c:explosion val="4"/>
          <c:dPt>
            <c:idx val="0"/>
            <c:bubble3D val="0"/>
            <c:explosion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Pt>
          <c:dPt>
            <c:idx val="1"/>
            <c:bubble3D val="0"/>
            <c:explosion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Pt>
          <c:dPt>
            <c:idx val="2"/>
            <c:bubble3D val="0"/>
            <c:explosion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dPt>
          <c:dPt>
            <c:idx val="3"/>
            <c:bubble3D val="0"/>
            <c:explosion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dPt>
          <c:dPt>
            <c:idx val="4"/>
            <c:bubble3D val="0"/>
            <c:explosion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dPt>
          <c:dPt>
            <c:idx val="5"/>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dPt>
          <c:dPt>
            <c:idx val="6"/>
            <c:bubble3D val="0"/>
            <c:spPr>
              <a:gradFill rotWithShape="1">
                <a:gsLst>
                  <a:gs pos="0">
                    <a:schemeClr val="accent1">
                      <a:lumMod val="60000"/>
                      <a:tint val="50000"/>
                      <a:satMod val="300000"/>
                    </a:schemeClr>
                  </a:gs>
                  <a:gs pos="35000">
                    <a:schemeClr val="accent1">
                      <a:lumMod val="60000"/>
                      <a:tint val="37000"/>
                      <a:satMod val="300000"/>
                    </a:schemeClr>
                  </a:gs>
                  <a:gs pos="100000">
                    <a:schemeClr val="accent1">
                      <a:lumMod val="60000"/>
                      <a:tint val="15000"/>
                      <a:satMod val="350000"/>
                    </a:schemeClr>
                  </a:gs>
                </a:gsLst>
                <a:lin ang="16200000" scaled="1"/>
              </a:gradFill>
              <a:ln w="9525" cap="flat" cmpd="sng" algn="ctr">
                <a:solidFill>
                  <a:schemeClr val="accent1">
                    <a:lumMod val="60000"/>
                    <a:shade val="95000"/>
                  </a:schemeClr>
                </a:solidFill>
                <a:round/>
              </a:ln>
              <a:effectLst>
                <a:outerShdw blurRad="40000" dist="20000" dir="5400000" rotWithShape="0">
                  <a:srgbClr val="000000">
                    <a:alpha val="38000"/>
                  </a:srgbClr>
                </a:outerShdw>
              </a:effectLst>
            </c:spPr>
          </c:dPt>
          <c:dLbls>
            <c:dLbl>
              <c:idx val="1"/>
              <c:layout>
                <c:manualLayout>
                  <c:x val="-0.116042246477234"/>
                  <c:y val="0.30186180052452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115541860933768"/>
                  <c:y val="0.4498187483751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239175386707381"/>
                  <c:y val="0.097222222222222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14001464158437"/>
                  <c:y val="0"/>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5"/>
              <c:layout>
                <c:manualLayout>
                  <c:x val="0.193440386811526"/>
                  <c:y val="0.0193651676439379"/>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6"/>
              <c:layout>
                <c:manualLayout>
                  <c:x val="0.0489788175510051"/>
                  <c:y val="0"/>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mn-lt"/>
                    <a:ea typeface="+mn-ea"/>
                    <a:cs typeface="+mn-cs"/>
                  </a:defRPr>
                </a:pPr>
              </a:p>
            </c:txPr>
            <c:dLblPos val="ct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'[贵州开阳经济开发区（开阳县工业园区）.xlsx]规上企业数据整理'!$C$80:$C$86</c:f>
              <c:strCache>
                <c:ptCount val="7"/>
                <c:pt idx="0">
                  <c:v>磷系新材料</c:v>
                </c:pt>
                <c:pt idx="1">
                  <c:v>氯碱化工</c:v>
                </c:pt>
                <c:pt idx="2">
                  <c:v>储能产业</c:v>
                </c:pt>
                <c:pt idx="3">
                  <c:v>铝基新材料</c:v>
                </c:pt>
                <c:pt idx="4">
                  <c:v>新型建材</c:v>
                </c:pt>
                <c:pt idx="5">
                  <c:v>特色农产品</c:v>
                </c:pt>
                <c:pt idx="6">
                  <c:v>其他</c:v>
                </c:pt>
              </c:strCache>
            </c:strRef>
          </c:cat>
          <c:val>
            <c:numRef>
              <c:f>'[贵州开阳经济开发区（开阳县工业园区）.xlsx]规上企业数据整理'!$F$80:$F$86</c:f>
              <c:numCache>
                <c:formatCode>General</c:formatCode>
                <c:ptCount val="7"/>
                <c:pt idx="0">
                  <c:v>1197782.92</c:v>
                </c:pt>
                <c:pt idx="1">
                  <c:v>2555.11</c:v>
                </c:pt>
                <c:pt idx="2">
                  <c:v>23003.29</c:v>
                </c:pt>
                <c:pt idx="3">
                  <c:v>43734.63</c:v>
                </c:pt>
                <c:pt idx="4">
                  <c:v>85093.53</c:v>
                </c:pt>
                <c:pt idx="5">
                  <c:v>259.38</c:v>
                </c:pt>
                <c:pt idx="6">
                  <c:v>1769.6</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50000"/>
                  <a:lumOff val="50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'[贵州开阳经济开发区（开阳县工业园区）.xlsx]规上企业数据整理'!$H$79</c:f>
              <c:strCache>
                <c:ptCount val="1"/>
                <c:pt idx="0">
                  <c:v>产值能耗（tce/万元）</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zh-CN" sz="800" b="0" i="0" u="none" strike="noStrike" kern="1200" baseline="0">
                    <a:solidFill>
                      <a:schemeClr val="tx1">
                        <a:lumMod val="50000"/>
                        <a:lumOff val="50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'[贵州开阳经济开发区（开阳县工业园区）.xlsx]规上企业数据整理'!$C$80:$C$86</c:f>
              <c:strCache>
                <c:ptCount val="7"/>
                <c:pt idx="0">
                  <c:v>磷系新材料</c:v>
                </c:pt>
                <c:pt idx="1">
                  <c:v>氯碱化工</c:v>
                </c:pt>
                <c:pt idx="2">
                  <c:v>储能产业</c:v>
                </c:pt>
                <c:pt idx="3">
                  <c:v>铝基新材料</c:v>
                </c:pt>
                <c:pt idx="4">
                  <c:v>新型建材</c:v>
                </c:pt>
                <c:pt idx="5">
                  <c:v>特色农产品</c:v>
                </c:pt>
                <c:pt idx="6">
                  <c:v>其他</c:v>
                </c:pt>
              </c:strCache>
            </c:strRef>
          </c:cat>
          <c:val>
            <c:numRef>
              <c:f>'[贵州开阳经济开发区（开阳县工业园区）.xlsx]规上企业数据整理'!$H$80:$H$86</c:f>
              <c:numCache>
                <c:formatCode>General</c:formatCode>
                <c:ptCount val="7"/>
                <c:pt idx="0">
                  <c:v>1.35</c:v>
                </c:pt>
                <c:pt idx="1">
                  <c:v>0.23</c:v>
                </c:pt>
                <c:pt idx="2">
                  <c:v>0.34</c:v>
                </c:pt>
                <c:pt idx="3">
                  <c:v>2.46</c:v>
                </c:pt>
                <c:pt idx="4">
                  <c:v>2.07</c:v>
                </c:pt>
                <c:pt idx="5">
                  <c:v>0.04</c:v>
                </c:pt>
                <c:pt idx="6">
                  <c:v>0.04</c:v>
                </c:pt>
              </c:numCache>
            </c:numRef>
          </c:val>
        </c:ser>
        <c:ser>
          <c:idx val="1"/>
          <c:order val="1"/>
          <c:tx>
            <c:strRef>
              <c:f>'[贵州开阳经济开发区（开阳县工业园区）.xlsx]规上企业数据整理'!$I$79</c:f>
              <c:strCache>
                <c:ptCount val="1"/>
                <c:pt idx="0">
                  <c:v>增加值能耗（tce/万元）</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zh-CN" sz="800" b="0" i="0" u="none" strike="noStrike" kern="1200" baseline="0">
                    <a:solidFill>
                      <a:schemeClr val="tx1">
                        <a:lumMod val="50000"/>
                        <a:lumOff val="50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'[贵州开阳经济开发区（开阳县工业园区）.xlsx]规上企业数据整理'!$C$80:$C$86</c:f>
              <c:strCache>
                <c:ptCount val="7"/>
                <c:pt idx="0">
                  <c:v>磷系新材料</c:v>
                </c:pt>
                <c:pt idx="1">
                  <c:v>氯碱化工</c:v>
                </c:pt>
                <c:pt idx="2">
                  <c:v>储能产业</c:v>
                </c:pt>
                <c:pt idx="3">
                  <c:v>铝基新材料</c:v>
                </c:pt>
                <c:pt idx="4">
                  <c:v>新型建材</c:v>
                </c:pt>
                <c:pt idx="5">
                  <c:v>特色农产品</c:v>
                </c:pt>
                <c:pt idx="6">
                  <c:v>其他</c:v>
                </c:pt>
              </c:strCache>
            </c:strRef>
          </c:cat>
          <c:val>
            <c:numRef>
              <c:f>'[贵州开阳经济开发区（开阳县工业园区）.xlsx]规上企业数据整理'!$I$80:$I$86</c:f>
              <c:numCache>
                <c:formatCode>General</c:formatCode>
                <c:ptCount val="7"/>
                <c:pt idx="0">
                  <c:v>4.83</c:v>
                </c:pt>
                <c:pt idx="1">
                  <c:v>0.77</c:v>
                </c:pt>
                <c:pt idx="2">
                  <c:v>1.15</c:v>
                </c:pt>
                <c:pt idx="3">
                  <c:v>15.39</c:v>
                </c:pt>
                <c:pt idx="4">
                  <c:v>8.18</c:v>
                </c:pt>
                <c:pt idx="5">
                  <c:v>0.22</c:v>
                </c:pt>
                <c:pt idx="6">
                  <c:v>0.15</c:v>
                </c:pt>
              </c:numCache>
            </c:numRef>
          </c:val>
        </c:ser>
        <c:dLbls>
          <c:showLegendKey val="0"/>
          <c:showVal val="1"/>
          <c:showCatName val="0"/>
          <c:showSerName val="0"/>
          <c:showPercent val="0"/>
          <c:showBubbleSize val="0"/>
        </c:dLbls>
        <c:gapWidth val="444"/>
        <c:overlap val="-90"/>
        <c:axId val="744073175"/>
        <c:axId val="40521571"/>
      </c:barChart>
      <c:catAx>
        <c:axId val="744073175"/>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800" b="0" i="0" u="none" strike="noStrike" kern="1200" cap="all" spc="120" normalizeH="0" baseline="0">
                <a:solidFill>
                  <a:schemeClr val="tx1">
                    <a:lumMod val="65000"/>
                    <a:lumOff val="35000"/>
                  </a:schemeClr>
                </a:solidFill>
                <a:latin typeface="+mn-lt"/>
                <a:ea typeface="+mn-ea"/>
                <a:cs typeface="+mn-cs"/>
              </a:defRPr>
            </a:pPr>
          </a:p>
        </c:txPr>
        <c:crossAx val="40521571"/>
        <c:crosses val="autoZero"/>
        <c:auto val="1"/>
        <c:lblAlgn val="ctr"/>
        <c:lblOffset val="100"/>
        <c:noMultiLvlLbl val="0"/>
      </c:catAx>
      <c:valAx>
        <c:axId val="40521571"/>
        <c:scaling>
          <c:orientation val="minMax"/>
        </c:scaling>
        <c:delete val="1"/>
        <c:axPos val="l"/>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4073175"/>
        <c:crosses val="autoZero"/>
        <c:crossBetween val="between"/>
      </c:valAx>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计划能耗</a:t>
            </a:r>
            <a:r>
              <a:rPr lang="en-US" altLang="zh-CN"/>
              <a:t>tce</a:t>
            </a:r>
            <a:endParaRPr lang="en-US" altLang="zh-CN"/>
          </a:p>
        </c:rich>
      </c:tx>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'[7、贵州开阳经济开发区（开阳县工业园区）20220728.xlsx]拟入驻企业数据整理'!$D$171:$Q$171</c:f>
              <c:strCache>
                <c:ptCount val="14"/>
                <c:pt idx="0">
                  <c:v>2022年</c:v>
                </c:pt>
                <c:pt idx="1">
                  <c:v>2023年</c:v>
                </c:pt>
                <c:pt idx="2">
                  <c:v>2024年</c:v>
                </c:pt>
                <c:pt idx="3">
                  <c:v>2025年</c:v>
                </c:pt>
                <c:pt idx="4">
                  <c:v>2026年</c:v>
                </c:pt>
                <c:pt idx="5">
                  <c:v>2027年</c:v>
                </c:pt>
                <c:pt idx="6">
                  <c:v>2028年</c:v>
                </c:pt>
                <c:pt idx="7">
                  <c:v>2029年</c:v>
                </c:pt>
                <c:pt idx="8">
                  <c:v>2030年</c:v>
                </c:pt>
                <c:pt idx="9">
                  <c:v>2031年</c:v>
                </c:pt>
                <c:pt idx="10">
                  <c:v>2032年</c:v>
                </c:pt>
                <c:pt idx="11">
                  <c:v>2033年</c:v>
                </c:pt>
                <c:pt idx="12">
                  <c:v>2034年</c:v>
                </c:pt>
                <c:pt idx="13">
                  <c:v>2035年</c:v>
                </c:pt>
              </c:strCache>
            </c:strRef>
          </c:cat>
          <c:val>
            <c:numRef>
              <c:f>'[7、贵州开阳经济开发区（开阳县工业园区）20220728.xlsx]拟入驻企业数据整理'!$D$172:$Q$172</c:f>
              <c:numCache>
                <c:formatCode>General</c:formatCode>
                <c:ptCount val="14"/>
                <c:pt idx="0">
                  <c:v>66937.04</c:v>
                </c:pt>
                <c:pt idx="1">
                  <c:v>507077.38</c:v>
                </c:pt>
                <c:pt idx="2">
                  <c:v>1569471.51</c:v>
                </c:pt>
                <c:pt idx="3">
                  <c:v>2373034.25</c:v>
                </c:pt>
                <c:pt idx="4">
                  <c:v>3154938.56</c:v>
                </c:pt>
                <c:pt idx="5">
                  <c:v>3809270.57</c:v>
                </c:pt>
                <c:pt idx="6">
                  <c:v>4334489.45</c:v>
                </c:pt>
                <c:pt idx="7">
                  <c:v>4587655.02</c:v>
                </c:pt>
                <c:pt idx="8">
                  <c:v>4911474.36</c:v>
                </c:pt>
                <c:pt idx="9">
                  <c:v>4739025.62</c:v>
                </c:pt>
                <c:pt idx="10">
                  <c:v>4616198.25</c:v>
                </c:pt>
                <c:pt idx="11">
                  <c:v>4445985.11</c:v>
                </c:pt>
                <c:pt idx="12">
                  <c:v>4352850.36</c:v>
                </c:pt>
                <c:pt idx="13">
                  <c:v>4204093.8</c:v>
                </c:pt>
              </c:numCache>
            </c:numRef>
          </c:val>
          <c:smooth val="0"/>
        </c:ser>
        <c:dLbls>
          <c:showLegendKey val="0"/>
          <c:showVal val="1"/>
          <c:showCatName val="0"/>
          <c:showSerName val="0"/>
          <c:showPercent val="0"/>
          <c:showBubbleSize val="0"/>
        </c:dLbls>
        <c:marker val="0"/>
        <c:smooth val="0"/>
        <c:axId val="320198042"/>
        <c:axId val="724159250"/>
      </c:lineChart>
      <c:catAx>
        <c:axId val="32019804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4159250"/>
        <c:crosses val="autoZero"/>
        <c:auto val="1"/>
        <c:lblAlgn val="ctr"/>
        <c:lblOffset val="100"/>
        <c:noMultiLvlLbl val="0"/>
      </c:catAx>
      <c:valAx>
        <c:axId val="72415925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2019804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174</Pages>
  <Words>69095</Words>
  <Characters>86092</Characters>
  <Lines>0</Lines>
  <Paragraphs>0</Paragraphs>
  <TotalTime>5</TotalTime>
  <ScaleCrop>false</ScaleCrop>
  <LinksUpToDate>false</LinksUpToDate>
  <CharactersWithSpaces>88231</CharactersWithSpaces>
  <Application>WPS Office_11.8.2.10624_F1E327BC-269C-435d-A152-05C5408002CA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2022-03-23T15:54:00Z</dcterms:created>
  <dc:creator>Administrator</dc:creator>
  <cp:lastModifiedBy>ysgz</cp:lastModifiedBy>
  <dcterms:modified xsi:type="dcterms:W3CDTF">2024-08-07T16:02:11Z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2052-11.8.2.10624</vt:lpwstr>
  </property>
  <property fmtid="{D5CDD505-2E9C-101B-9397-08002B2CF9AE}" pid="3" name="ICV">
    <vt:lpwstr>88470A228EBD4D769ECF764F8A9B9297</vt:lpwstr>
  </property>
</Properties>
</file>