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方正小标宋简体" w:hAnsi="方正小标宋简体" w:eastAsia="方正小标宋简体" w:cs="方正小标宋简体"/>
          <w:bCs/>
          <w:sz w:val="36"/>
          <w:szCs w:val="36"/>
        </w:rPr>
      </w:pPr>
      <w:bookmarkStart w:id="0" w:name="_Hlk126746017"/>
      <w:bookmarkStart w:id="7" w:name="_GoBack"/>
      <w:bookmarkEnd w:id="7"/>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年贵州省农业主推技术</w:t>
      </w:r>
      <w:bookmarkEnd w:id="0"/>
    </w:p>
    <w:p>
      <w:pPr>
        <w:snapToGrid w:val="0"/>
        <w:spacing w:line="620" w:lineRule="exact"/>
        <w:jc w:val="center"/>
        <w:rPr>
          <w:rFonts w:ascii="Times New Roman" w:hAnsi="Times New Roman" w:eastAsia="华文中宋"/>
          <w:b/>
          <w:color w:val="000000" w:themeColor="text1"/>
          <w:sz w:val="36"/>
          <w:szCs w:val="36"/>
          <w14:textFill>
            <w14:solidFill>
              <w14:schemeClr w14:val="tx1"/>
            </w14:solidFill>
          </w14:textFill>
        </w:rPr>
      </w:pPr>
      <w:bookmarkStart w:id="1" w:name="_Hlk95814513"/>
      <w:r>
        <w:rPr>
          <w:rFonts w:hint="eastAsia" w:ascii="Times New Roman" w:hAnsi="Times New Roman" w:eastAsia="华文中宋"/>
          <w:b/>
          <w:color w:val="000000" w:themeColor="text1"/>
          <w:sz w:val="36"/>
          <w:szCs w:val="36"/>
          <w14:textFill>
            <w14:solidFill>
              <w14:schemeClr w14:val="tx1"/>
            </w14:solidFill>
          </w14:textFill>
        </w:rPr>
        <w:t>贵州马铃薯小型机械化生产技术</w:t>
      </w:r>
    </w:p>
    <w:bookmarkEnd w:id="1"/>
    <w:p>
      <w:pPr>
        <w:adjustRightInd w:val="0"/>
        <w:snapToGrid w:val="0"/>
        <w:spacing w:line="560" w:lineRule="exact"/>
        <w:ind w:firstLine="640" w:firstLineChars="200"/>
        <w:rPr>
          <w:rFonts w:ascii="Times New Roman" w:hAnsi="Times New Roman" w:eastAsia="黑体"/>
          <w:bCs/>
          <w:sz w:val="32"/>
          <w:szCs w:val="32"/>
        </w:rPr>
      </w:pPr>
      <w:r>
        <w:rPr>
          <w:rFonts w:ascii="Times New Roman" w:hAnsi="Times New Roman" w:eastAsia="黑体"/>
          <w:bCs/>
          <w:sz w:val="32"/>
          <w:szCs w:val="32"/>
        </w:rPr>
        <w:t>一、技术概述</w:t>
      </w:r>
    </w:p>
    <w:p>
      <w:pPr>
        <w:snapToGrid w:val="0"/>
        <w:spacing w:line="560" w:lineRule="exact"/>
        <w:ind w:firstLine="643" w:firstLineChars="200"/>
        <w:rPr>
          <w:rFonts w:ascii="Times New Roman" w:hAnsi="Times New Roman" w:eastAsia="仿宋_GB2312"/>
          <w:b/>
          <w:color w:val="000000"/>
          <w:sz w:val="36"/>
          <w:szCs w:val="36"/>
        </w:rPr>
      </w:pPr>
      <w:r>
        <w:rPr>
          <w:rFonts w:ascii="Times New Roman" w:hAnsi="Times New Roman" w:eastAsia="楷体"/>
          <w:b/>
          <w:sz w:val="32"/>
          <w:szCs w:val="32"/>
        </w:rPr>
        <w:t>（一）技术基本情况</w:t>
      </w:r>
    </w:p>
    <w:p>
      <w:pPr>
        <w:adjustRightInd w:val="0"/>
        <w:snapToGrid w:val="0"/>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针对贵州马铃薯传统种植方式工序繁多，投入劳动力多且劳动强度大；马铃薯上市时间晚导致市场价格降低收益减少等问题，研究形成贵州马铃薯小型机械化生产技术。通过该技术，实现了贵州马铃薯种植中整地、开沟、起垄、中耕管理及收获的全程小型机械化，解决了马铃薯种植过程中劳动力投入多、劳动强度大等问题，提高种植效率，降低生产成本；通过马铃薯机械化采收，加速完成马铃薯收获时间，加快了马铃薯上市时间，解决马铃薯上市时间晚导致市场价格降低的问题。同时该技术的实施也为贵州马铃薯种植与小型农机具的适配起到借鉴，实现了贵州马铃薯农机农艺融合。</w:t>
      </w:r>
    </w:p>
    <w:p>
      <w:pPr>
        <w:snapToGrid w:val="0"/>
        <w:spacing w:line="560" w:lineRule="exact"/>
        <w:ind w:firstLine="640"/>
        <w:rPr>
          <w:rFonts w:ascii="Times New Roman" w:hAnsi="Times New Roman" w:eastAsia="楷体"/>
          <w:b/>
          <w:sz w:val="32"/>
          <w:szCs w:val="32"/>
        </w:rPr>
      </w:pPr>
      <w:r>
        <w:rPr>
          <w:rFonts w:ascii="Times New Roman" w:hAnsi="Times New Roman" w:eastAsia="楷体"/>
          <w:b/>
          <w:sz w:val="32"/>
          <w:szCs w:val="32"/>
        </w:rPr>
        <w:t>（二）技术示范推广情况</w:t>
      </w:r>
    </w:p>
    <w:p>
      <w:pPr>
        <w:spacing w:line="560" w:lineRule="exact"/>
        <w:ind w:firstLine="640" w:firstLineChars="200"/>
        <w:rPr>
          <w:rFonts w:ascii="Times New Roman" w:hAnsi="Times New Roman"/>
          <w:sz w:val="32"/>
          <w:szCs w:val="32"/>
        </w:rPr>
      </w:pPr>
      <w:r>
        <w:rPr>
          <w:rFonts w:hint="eastAsia" w:ascii="仿宋_GB2312" w:hAnsi="仿宋_GB2312" w:eastAsia="仿宋_GB2312" w:cs="仿宋_GB2312"/>
          <w:sz w:val="32"/>
          <w:szCs w:val="32"/>
        </w:rPr>
        <w:t>核心技术“贵州马铃薯小型机械化生产技术”在2</w:t>
      </w:r>
      <w:r>
        <w:rPr>
          <w:rFonts w:ascii="仿宋_GB2312" w:hAnsi="仿宋_GB2312" w:eastAsia="仿宋_GB2312" w:cs="仿宋_GB2312"/>
          <w:sz w:val="32"/>
          <w:szCs w:val="32"/>
        </w:rPr>
        <w:t>008</w:t>
      </w:r>
      <w:r>
        <w:rPr>
          <w:rFonts w:hint="eastAsia" w:ascii="仿宋_GB2312" w:hAnsi="仿宋_GB2312" w:eastAsia="仿宋_GB2312" w:cs="仿宋_GB2312"/>
          <w:sz w:val="32"/>
          <w:szCs w:val="32"/>
        </w:rPr>
        <w:t>年开始在威宁地区进行试探性研究，从人畜配合播种到小型机械化整地与播种，再到小型机械化收获等，都能明显降低马铃薯用工成本，获得良好效果，该技术亦形成DB52T 1584-2021坡地马铃薯机械化生产技术规程与DB52T 1585-2021坝区马铃薯机械化生产技术规程。自2</w:t>
      </w:r>
      <w:r>
        <w:rPr>
          <w:rFonts w:ascii="仿宋_GB2312" w:hAnsi="仿宋_GB2312" w:eastAsia="仿宋_GB2312" w:cs="仿宋_GB2312"/>
          <w:sz w:val="32"/>
          <w:szCs w:val="32"/>
        </w:rPr>
        <w:t>019</w:t>
      </w:r>
      <w:r>
        <w:rPr>
          <w:rFonts w:hint="eastAsia" w:ascii="仿宋_GB2312" w:hAnsi="仿宋_GB2312" w:eastAsia="仿宋_GB2312" w:cs="仿宋_GB2312"/>
          <w:sz w:val="32"/>
          <w:szCs w:val="32"/>
        </w:rPr>
        <w:t>年以来在贵州平坝、威宁、荔波、毕节等地区进行示范、推广，每年总示范面积均在</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万亩以上。该技术能有效降低马铃薯种植投入，提高成效比，示范地企业和农户的一致好评。</w:t>
      </w:r>
    </w:p>
    <w:p>
      <w:pPr>
        <w:snapToGrid w:val="0"/>
        <w:spacing w:line="560" w:lineRule="exact"/>
        <w:ind w:firstLine="640"/>
        <w:rPr>
          <w:rFonts w:ascii="Times New Roman" w:hAnsi="Times New Roman" w:eastAsia="楷体"/>
          <w:b/>
          <w:sz w:val="32"/>
          <w:szCs w:val="32"/>
        </w:rPr>
      </w:pPr>
      <w:r>
        <w:rPr>
          <w:rFonts w:ascii="Times New Roman" w:hAnsi="Times New Roman" w:eastAsia="楷体"/>
          <w:b/>
          <w:sz w:val="32"/>
          <w:szCs w:val="32"/>
        </w:rPr>
        <w:t>（三）提质增效情况</w:t>
      </w:r>
    </w:p>
    <w:p>
      <w:pPr>
        <w:adjustRightInd w:val="0"/>
        <w:snapToGrid w:val="0"/>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与马铃薯传统种植方式相比，应用该技术可降低马铃薯整地与播种时期每亩人工3</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个，田间管理时期每亩人工2个，马铃薯收获期每亩人工2个，总计每亩可节约人工7</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个，按照每1人工8</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元计，亩节支</w:t>
      </w:r>
      <w:r>
        <w:rPr>
          <w:rFonts w:ascii="仿宋_GB2312" w:hAnsi="仿宋_GB2312" w:eastAsia="仿宋_GB2312" w:cs="仿宋_GB2312"/>
          <w:sz w:val="32"/>
          <w:szCs w:val="32"/>
        </w:rPr>
        <w:t>560</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~640</w:t>
      </w:r>
      <w:r>
        <w:rPr>
          <w:rFonts w:hint="eastAsia" w:ascii="仿宋_GB2312" w:hAnsi="仿宋_GB2312" w:eastAsia="仿宋_GB2312" w:cs="仿宋_GB2312"/>
          <w:sz w:val="32"/>
          <w:szCs w:val="32"/>
        </w:rPr>
        <w:t>元左右，大大提高种植马铃薯的经济价值。</w:t>
      </w:r>
    </w:p>
    <w:p>
      <w:pPr>
        <w:snapToGrid w:val="0"/>
        <w:spacing w:line="560" w:lineRule="exact"/>
        <w:ind w:firstLine="643" w:firstLineChars="200"/>
        <w:rPr>
          <w:rFonts w:ascii="Times New Roman" w:hAnsi="Times New Roman" w:eastAsia="楷体_GB2312"/>
          <w:b/>
          <w:i/>
          <w:color w:val="000000"/>
          <w:sz w:val="28"/>
          <w:szCs w:val="28"/>
        </w:rPr>
      </w:pPr>
      <w:r>
        <w:rPr>
          <w:rFonts w:ascii="Times New Roman" w:hAnsi="Times New Roman" w:eastAsia="楷体"/>
          <w:b/>
          <w:sz w:val="32"/>
          <w:szCs w:val="32"/>
        </w:rPr>
        <w:t>（四）技术获奖情况</w:t>
      </w:r>
    </w:p>
    <w:p>
      <w:pPr>
        <w:adjustRightInd w:val="0"/>
        <w:snapToGrid w:val="0"/>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未申报科技奖励。</w:t>
      </w:r>
    </w:p>
    <w:p>
      <w:pPr>
        <w:snapToGrid w:val="0"/>
        <w:spacing w:line="560" w:lineRule="exact"/>
        <w:ind w:firstLine="640" w:firstLineChars="200"/>
        <w:rPr>
          <w:rFonts w:ascii="Times New Roman" w:hAnsi="Times New Roman" w:eastAsia="黑体"/>
          <w:color w:val="000000"/>
          <w:sz w:val="36"/>
          <w:szCs w:val="36"/>
        </w:rPr>
      </w:pPr>
      <w:r>
        <w:rPr>
          <w:rFonts w:ascii="Times New Roman" w:hAnsi="Times New Roman" w:eastAsia="黑体"/>
          <w:sz w:val="32"/>
          <w:szCs w:val="32"/>
        </w:rPr>
        <w:t>二、技术要点</w:t>
      </w:r>
    </w:p>
    <w:p>
      <w:pPr>
        <w:adjustRightInd w:val="0"/>
        <w:snapToGrid w:val="0"/>
        <w:spacing w:line="560" w:lineRule="exact"/>
        <w:ind w:firstLine="803" w:firstLineChars="2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1.机械化深松整地及开沟：</w:t>
      </w:r>
      <w:r>
        <w:rPr>
          <w:rFonts w:hint="eastAsia" w:ascii="仿宋_GB2312" w:hAnsi="仿宋_GB2312" w:eastAsia="仿宋_GB2312" w:cs="仿宋_GB2312"/>
          <w:sz w:val="32"/>
          <w:szCs w:val="32"/>
        </w:rPr>
        <w:t>翻耕农机选择为中型犁地机，清理地块中前茬作物残茬、杂草，翻耕地块，翻耕深度为2</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cm</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cm，晾晒1</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天；开沟选用</w:t>
      </w:r>
      <w:bookmarkStart w:id="2" w:name="_Hlk95995858"/>
      <w:r>
        <w:rPr>
          <w:rFonts w:hint="eastAsia" w:ascii="仿宋_GB2312" w:hAnsi="仿宋_GB2312" w:eastAsia="仿宋_GB2312" w:cs="仿宋_GB2312"/>
          <w:sz w:val="32"/>
          <w:szCs w:val="32"/>
        </w:rPr>
        <w:t>微耕机挂开沟器</w:t>
      </w:r>
      <w:bookmarkEnd w:id="2"/>
      <w:r>
        <w:rPr>
          <w:rFonts w:hint="eastAsia" w:ascii="仿宋_GB2312" w:hAnsi="仿宋_GB2312" w:eastAsia="仿宋_GB2312" w:cs="仿宋_GB2312"/>
          <w:sz w:val="32"/>
          <w:szCs w:val="32"/>
        </w:rPr>
        <w:t>作为农机具，使用前调试开沟器，使沟间距为</w:t>
      </w:r>
      <w:r>
        <w:rPr>
          <w:rFonts w:ascii="仿宋_GB2312" w:hAnsi="仿宋_GB2312" w:eastAsia="仿宋_GB2312" w:cs="仿宋_GB2312"/>
          <w:sz w:val="32"/>
          <w:szCs w:val="32"/>
        </w:rPr>
        <w:t>120</w:t>
      </w:r>
      <w:r>
        <w:rPr>
          <w:rFonts w:hint="eastAsia" w:ascii="仿宋_GB2312" w:hAnsi="仿宋_GB2312" w:eastAsia="仿宋_GB2312" w:cs="仿宋_GB2312"/>
          <w:sz w:val="32"/>
          <w:szCs w:val="32"/>
        </w:rPr>
        <w:t>cm，沟深</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cm。</w:t>
      </w:r>
    </w:p>
    <w:p>
      <w:pPr>
        <w:adjustRightInd w:val="0"/>
        <w:snapToGrid w:val="0"/>
        <w:spacing w:line="560" w:lineRule="exact"/>
        <w:ind w:firstLine="803" w:firstLineChars="250"/>
        <w:rPr>
          <w:rFonts w:ascii="仿宋_GB2312" w:hAnsi="仿宋_GB2312" w:eastAsia="仿宋_GB2312" w:cs="仿宋_GB2312"/>
          <w:b/>
          <w:bCs/>
          <w:sz w:val="32"/>
          <w:szCs w:val="32"/>
        </w:rPr>
      </w:pPr>
      <w:bookmarkStart w:id="3" w:name="_Hlk95992938"/>
      <w:r>
        <w:rPr>
          <w:rFonts w:ascii="仿宋_GB2312" w:hAnsi="仿宋_GB2312" w:eastAsia="仿宋_GB2312" w:cs="仿宋_GB2312"/>
          <w:b/>
          <w:bCs/>
          <w:sz w:val="32"/>
          <w:szCs w:val="32"/>
        </w:rPr>
        <w:t>2.</w:t>
      </w:r>
      <w:bookmarkStart w:id="4" w:name="_Hlk96071703"/>
      <w:r>
        <w:rPr>
          <w:rFonts w:hint="eastAsia" w:ascii="仿宋_GB2312" w:hAnsi="仿宋_GB2312" w:eastAsia="仿宋_GB2312" w:cs="仿宋_GB2312"/>
          <w:b/>
          <w:bCs/>
          <w:sz w:val="32"/>
          <w:szCs w:val="32"/>
        </w:rPr>
        <w:t>机械化起垄覆土</w:t>
      </w:r>
      <w:bookmarkEnd w:id="4"/>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播</w:t>
      </w:r>
      <w:bookmarkEnd w:id="3"/>
      <w:r>
        <w:rPr>
          <w:rFonts w:hint="eastAsia" w:ascii="仿宋_GB2312" w:hAnsi="仿宋_GB2312" w:eastAsia="仿宋_GB2312" w:cs="仿宋_GB2312"/>
          <w:sz w:val="32"/>
          <w:szCs w:val="32"/>
        </w:rPr>
        <w:t>种深浅关系地下茎长短，地下茎长短又影响结薯数量。因此，一般要求深种，播种深度应从芽块向上量7~10cm，覆土成垄后，由芽块至垄背顶部达到</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cm左右，但也不能过深。选用</w:t>
      </w:r>
      <w:bookmarkStart w:id="5" w:name="_Hlk95995889"/>
      <w:r>
        <w:rPr>
          <w:rFonts w:hint="eastAsia" w:ascii="仿宋_GB2312" w:hAnsi="仿宋_GB2312" w:eastAsia="仿宋_GB2312" w:cs="仿宋_GB2312"/>
          <w:sz w:val="32"/>
          <w:szCs w:val="32"/>
        </w:rPr>
        <w:t>微耕机加挂拢厢器覆土起垄</w:t>
      </w:r>
      <w:bookmarkEnd w:id="5"/>
      <w:r>
        <w:rPr>
          <w:rFonts w:hint="eastAsia" w:ascii="仿宋_GB2312" w:hAnsi="仿宋_GB2312" w:eastAsia="仿宋_GB2312" w:cs="仿宋_GB2312"/>
          <w:sz w:val="32"/>
          <w:szCs w:val="32"/>
        </w:rPr>
        <w:t>，形成单垄双行模式。覆土前调整拢厢器，使垄面宽8</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cm，垄高2</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cm。</w:t>
      </w:r>
    </w:p>
    <w:p>
      <w:pPr>
        <w:ind w:firstLine="803" w:firstLineChars="250"/>
        <w:rPr>
          <w:rFonts w:ascii="仿宋_GB2312" w:hAnsi="仿宋_GB2312" w:eastAsia="仿宋_GB2312" w:cs="仿宋_GB2312"/>
          <w:sz w:val="32"/>
          <w:szCs w:val="32"/>
        </w:rPr>
      </w:pPr>
      <w:r>
        <w:rPr>
          <w:rFonts w:ascii="仿宋_GB2312" w:hAnsi="仿宋_GB2312" w:eastAsia="仿宋_GB2312" w:cs="仿宋_GB2312"/>
          <w:b/>
          <w:bCs/>
          <w:sz w:val="32"/>
          <w:szCs w:val="32"/>
        </w:rPr>
        <w:t>3.</w:t>
      </w:r>
      <w:r>
        <w:rPr>
          <w:rFonts w:hint="eastAsia"/>
        </w:rPr>
        <w:t xml:space="preserve"> </w:t>
      </w:r>
      <w:r>
        <w:rPr>
          <w:rFonts w:hint="eastAsia" w:ascii="仿宋_GB2312" w:hAnsi="仿宋_GB2312" w:eastAsia="仿宋_GB2312" w:cs="仿宋_GB2312"/>
          <w:b/>
          <w:bCs/>
          <w:sz w:val="32"/>
          <w:szCs w:val="32"/>
        </w:rPr>
        <w:t>追肥与中耕：</w:t>
      </w:r>
      <w:r>
        <w:rPr>
          <w:rFonts w:hint="eastAsia" w:ascii="仿宋_GB2312" w:hAnsi="仿宋_GB2312" w:eastAsia="仿宋_GB2312" w:cs="仿宋_GB2312"/>
          <w:sz w:val="32"/>
          <w:szCs w:val="32"/>
        </w:rPr>
        <w:t>冬作与秋作出苗达到 70%～80%、春作齐苗后，进行追肥，每亩施用尿素</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kg～</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kg，追肥部位为离苗1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cm处。追肥后选用田园管理机进行中耕培土。田园管理机作业幅宽等于拖拉机宽度的，选用拖拉机后轮距和垄距的误差小于</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cm，前轮距和垄距的误差小于</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cm；机具作业幅宽大于拖拉机宽度的，选用拖拉机轮距和垄距倍数的误差小于</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cm。上述两种情况均以不压苗为准。</w:t>
      </w:r>
    </w:p>
    <w:p>
      <w:pPr>
        <w:ind w:firstLine="803" w:firstLineChars="25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w:t>
      </w:r>
      <w:r>
        <w:rPr>
          <w:rFonts w:hint="eastAsia"/>
          <w:b/>
          <w:bCs/>
        </w:rPr>
        <w:t xml:space="preserve"> </w:t>
      </w:r>
      <w:r>
        <w:rPr>
          <w:rFonts w:hint="eastAsia" w:ascii="仿宋_GB2312" w:hAnsi="仿宋_GB2312" w:eastAsia="仿宋_GB2312" w:cs="仿宋_GB2312"/>
          <w:b/>
          <w:bCs/>
          <w:sz w:val="32"/>
          <w:szCs w:val="32"/>
        </w:rPr>
        <w:t>杀秧与收获：</w:t>
      </w:r>
      <w:r>
        <w:rPr>
          <w:rFonts w:hint="eastAsia" w:ascii="仿宋_GB2312" w:hAnsi="仿宋_GB2312" w:eastAsia="仿宋_GB2312" w:cs="仿宋_GB2312"/>
          <w:sz w:val="32"/>
          <w:szCs w:val="32"/>
        </w:rPr>
        <w:t>使用动力背负式割草机对收获前田地中的杂草和马铃薯植株等进行清理；应选择在持续多日晴朗天气进行挖掘，采用</w:t>
      </w:r>
      <w:bookmarkStart w:id="6" w:name="_Hlk95995905"/>
      <w:r>
        <w:rPr>
          <w:rFonts w:hint="eastAsia" w:ascii="仿宋_GB2312" w:hAnsi="仿宋_GB2312" w:eastAsia="仿宋_GB2312" w:cs="仿宋_GB2312"/>
          <w:sz w:val="32"/>
          <w:szCs w:val="32"/>
        </w:rPr>
        <w:t>马铃薯收获机</w:t>
      </w:r>
      <w:bookmarkEnd w:id="6"/>
      <w:r>
        <w:rPr>
          <w:rFonts w:hint="eastAsia" w:ascii="仿宋_GB2312" w:hAnsi="仿宋_GB2312" w:eastAsia="仿宋_GB2312" w:cs="仿宋_GB2312"/>
          <w:sz w:val="32"/>
          <w:szCs w:val="32"/>
        </w:rPr>
        <w:t>，在进行收获作业前进行试挖，查看挖净率、挖掘深度和明薯率等，对机具进行调配，要求马铃薯挖掘收获明薯率≥98%，埋薯率≤2%，损伤率≤</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w:t>
      </w:r>
    </w:p>
    <w:p>
      <w:pP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2927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927350"/>
                    </a:xfrm>
                    <a:prstGeom prst="rect">
                      <a:avLst/>
                    </a:prstGeom>
                    <a:noFill/>
                    <a:ln>
                      <a:noFill/>
                    </a:ln>
                  </pic:spPr>
                </pic:pic>
              </a:graphicData>
            </a:graphic>
          </wp:inline>
        </w:drawing>
      </w:r>
    </w:p>
    <w:p>
      <w:pPr>
        <w:adjustRightInd w:val="0"/>
        <w:snapToGrid w:val="0"/>
        <w:spacing w:line="600" w:lineRule="exact"/>
        <w:jc w:val="center"/>
        <w:rPr>
          <w:rFonts w:cs="仿宋_GB2312" w:asciiTheme="minorEastAsia" w:hAnsiTheme="minorEastAsia"/>
          <w:sz w:val="32"/>
          <w:szCs w:val="32"/>
        </w:rPr>
      </w:pPr>
      <w:r>
        <w:rPr>
          <w:rFonts w:hint="eastAsia" w:cs="仿宋_GB2312" w:asciiTheme="minorEastAsia" w:hAnsiTheme="minorEastAsia"/>
          <w:sz w:val="32"/>
          <w:szCs w:val="32"/>
        </w:rPr>
        <w:t>图1</w:t>
      </w:r>
      <w:r>
        <w:rPr>
          <w:rFonts w:cs="仿宋_GB2312" w:asciiTheme="minorEastAsia" w:hAnsiTheme="minorEastAsia"/>
          <w:sz w:val="32"/>
          <w:szCs w:val="32"/>
        </w:rPr>
        <w:t xml:space="preserve"> </w:t>
      </w:r>
      <w:r>
        <w:rPr>
          <w:rFonts w:hint="eastAsia" w:cs="仿宋_GB2312" w:asciiTheme="minorEastAsia" w:hAnsiTheme="minorEastAsia"/>
          <w:sz w:val="32"/>
          <w:szCs w:val="32"/>
        </w:rPr>
        <w:t>微耕机挂开沟器开沟</w:t>
      </w:r>
    </w:p>
    <w:p>
      <w:pPr>
        <w:jc w:val="center"/>
        <w:rPr>
          <w:rFonts w:ascii="仿宋_GB2312" w:hAnsi="仿宋_GB2312" w:eastAsia="仿宋_GB2312" w:cs="仿宋_GB2312"/>
          <w:sz w:val="32"/>
          <w:szCs w:val="32"/>
        </w:rPr>
      </w:pPr>
      <w:r>
        <w:rPr>
          <w:rFonts w:cs="仿宋_GB2312" w:asciiTheme="minorEastAsia" w:hAnsiTheme="minorEastAsia"/>
          <w:sz w:val="32"/>
          <w:szCs w:val="32"/>
        </w:rPr>
        <w:drawing>
          <wp:inline distT="0" distB="0" distL="0" distR="0">
            <wp:extent cx="5274310" cy="29622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962275"/>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马铃薯机械化起垄覆土</w:t>
      </w:r>
    </w:p>
    <w:p>
      <w:pPr>
        <w:jc w:val="center"/>
        <w:rPr>
          <w:rFonts w:ascii="仿宋_GB2312" w:hAnsi="仿宋_GB2312" w:eastAsia="仿宋_GB2312" w:cs="仿宋_GB2312"/>
          <w:sz w:val="32"/>
          <w:szCs w:val="32"/>
        </w:rPr>
      </w:pPr>
      <w:r>
        <w:drawing>
          <wp:inline distT="0" distB="0" distL="0" distR="0">
            <wp:extent cx="5274310" cy="36747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674745"/>
                    </a:xfrm>
                    <a:prstGeom prst="rect">
                      <a:avLst/>
                    </a:prstGeom>
                  </pic:spPr>
                </pic:pic>
              </a:graphicData>
            </a:graphic>
          </wp:inline>
        </w:drawing>
      </w:r>
    </w:p>
    <w:p>
      <w:pPr>
        <w:adjustRightInd w:val="0"/>
        <w:snapToGrid w:val="0"/>
        <w:spacing w:line="600" w:lineRule="exact"/>
        <w:jc w:val="center"/>
        <w:rPr>
          <w:rFonts w:cs="仿宋_GB2312" w:asciiTheme="minorEastAsia" w:hAnsiTheme="minorEastAsia"/>
          <w:sz w:val="32"/>
          <w:szCs w:val="32"/>
        </w:rPr>
      </w:pPr>
      <w:r>
        <w:rPr>
          <w:rFonts w:hint="eastAsia" w:cs="仿宋_GB2312" w:asciiTheme="minorEastAsia" w:hAnsiTheme="minorEastAsia"/>
          <w:sz w:val="32"/>
          <w:szCs w:val="32"/>
        </w:rPr>
        <w:t>图</w:t>
      </w:r>
      <w:r>
        <w:rPr>
          <w:rFonts w:cs="仿宋_GB2312" w:asciiTheme="minorEastAsia" w:hAnsiTheme="minorEastAsia"/>
          <w:sz w:val="32"/>
          <w:szCs w:val="32"/>
        </w:rPr>
        <w:t xml:space="preserve">3 </w:t>
      </w:r>
      <w:r>
        <w:rPr>
          <w:rFonts w:hint="eastAsia" w:cs="仿宋_GB2312" w:asciiTheme="minorEastAsia" w:hAnsiTheme="minorEastAsia"/>
          <w:sz w:val="32"/>
          <w:szCs w:val="32"/>
        </w:rPr>
        <w:t>马铃薯小型机械化采收</w:t>
      </w:r>
    </w:p>
    <w:p>
      <w:pPr>
        <w:adjustRightInd w:val="0"/>
        <w:snapToGrid w:val="0"/>
        <w:spacing w:line="560" w:lineRule="exact"/>
        <w:ind w:firstLine="640"/>
        <w:rPr>
          <w:rFonts w:ascii="Times New Roman" w:hAnsi="Times New Roman" w:eastAsia="黑体"/>
          <w:sz w:val="32"/>
          <w:szCs w:val="32"/>
        </w:rPr>
      </w:pPr>
      <w:r>
        <w:rPr>
          <w:rFonts w:ascii="Times New Roman" w:hAnsi="Times New Roman" w:eastAsia="黑体"/>
          <w:sz w:val="32"/>
          <w:szCs w:val="32"/>
        </w:rPr>
        <w:t>三、适宜区域</w:t>
      </w:r>
    </w:p>
    <w:p>
      <w:pPr>
        <w:adjustRightInd w:val="0"/>
        <w:snapToGrid w:val="0"/>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全省马铃薯主产区。</w:t>
      </w:r>
    </w:p>
    <w:p>
      <w:pPr>
        <w:adjustRightInd w:val="0"/>
        <w:snapToGrid w:val="0"/>
        <w:spacing w:line="540" w:lineRule="exact"/>
        <w:ind w:firstLine="640"/>
        <w:rPr>
          <w:rFonts w:ascii="Times New Roman" w:hAnsi="Times New Roman" w:eastAsia="黑体"/>
          <w:sz w:val="32"/>
          <w:szCs w:val="32"/>
        </w:rPr>
      </w:pPr>
      <w:r>
        <w:rPr>
          <w:rFonts w:ascii="Times New Roman" w:hAnsi="Times New Roman" w:eastAsia="黑体"/>
          <w:sz w:val="32"/>
          <w:szCs w:val="32"/>
        </w:rPr>
        <w:t>四、注意事项</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小型机械均需调试，调试后方可使用。马铃薯播种机类型多样，可根据贵州山坡地或平地，选择田园管理机或中耕机。</w:t>
      </w:r>
    </w:p>
    <w:p>
      <w:pPr>
        <w:snapToGrid w:val="0"/>
        <w:spacing w:line="540" w:lineRule="exact"/>
        <w:ind w:firstLine="640" w:firstLineChars="200"/>
        <w:rPr>
          <w:rFonts w:ascii="Times New Roman" w:hAnsi="Times New Roman" w:eastAsia="黑体"/>
          <w:color w:val="000000"/>
          <w:sz w:val="36"/>
          <w:szCs w:val="36"/>
        </w:rPr>
      </w:pPr>
      <w:r>
        <w:rPr>
          <w:rFonts w:ascii="Times New Roman" w:hAnsi="Times New Roman" w:eastAsia="黑体"/>
          <w:sz w:val="32"/>
          <w:szCs w:val="32"/>
        </w:rPr>
        <w:t>五、技术依托单位</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贵州省马铃薯研究所</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联系地址：贵州省贵阳市花溪区金竹镇金农社区</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邮政编码：550006</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联系人：范士杰</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联系电话：0851-83760332，13985413128</w:t>
      </w:r>
    </w:p>
    <w:p>
      <w:pPr>
        <w:adjustRightInd w:val="0"/>
        <w:snapToGrid w:val="0"/>
        <w:spacing w:line="54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电子邮箱：fsjgy200@sina.com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NTkzNWI5N2ZiMTcyZjJhNDAwNzc0ZTdiZDk1ZDEifQ=="/>
    <w:docVar w:name="KSO_WPS_MARK_KEY" w:val="f331ff66-06d6-4fed-8e74-dc7cc8ad3be0"/>
  </w:docVars>
  <w:rsids>
    <w:rsidRoot w:val="57B37D0E"/>
    <w:rsid w:val="00156553"/>
    <w:rsid w:val="00190B17"/>
    <w:rsid w:val="001E76DC"/>
    <w:rsid w:val="002728A8"/>
    <w:rsid w:val="0036295C"/>
    <w:rsid w:val="00367DC3"/>
    <w:rsid w:val="003C672F"/>
    <w:rsid w:val="00401827"/>
    <w:rsid w:val="00420135"/>
    <w:rsid w:val="00457692"/>
    <w:rsid w:val="004E1C8F"/>
    <w:rsid w:val="0056606C"/>
    <w:rsid w:val="005724CE"/>
    <w:rsid w:val="005A4888"/>
    <w:rsid w:val="005A5CD1"/>
    <w:rsid w:val="0066242F"/>
    <w:rsid w:val="00677611"/>
    <w:rsid w:val="00821558"/>
    <w:rsid w:val="00870668"/>
    <w:rsid w:val="008D1791"/>
    <w:rsid w:val="0096629A"/>
    <w:rsid w:val="00A5289D"/>
    <w:rsid w:val="00A83100"/>
    <w:rsid w:val="00B01C56"/>
    <w:rsid w:val="00B26D2C"/>
    <w:rsid w:val="00B45840"/>
    <w:rsid w:val="00BA087A"/>
    <w:rsid w:val="00D75902"/>
    <w:rsid w:val="00D80457"/>
    <w:rsid w:val="00D9048A"/>
    <w:rsid w:val="00E033BD"/>
    <w:rsid w:val="00E70326"/>
    <w:rsid w:val="00EE5F43"/>
    <w:rsid w:val="00F62D42"/>
    <w:rsid w:val="00FE5865"/>
    <w:rsid w:val="4C1A7D2B"/>
    <w:rsid w:val="57B37D0E"/>
    <w:rsid w:val="6AEE3745"/>
    <w:rsid w:val="6CEE26FA"/>
    <w:rsid w:val="6F867B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Lines="100" w:afterLines="100" w:line="360" w:lineRule="exact"/>
      <w:jc w:val="center"/>
      <w:outlineLvl w:val="0"/>
    </w:pPr>
    <w:rPr>
      <w:rFonts w:eastAsia="黑体"/>
      <w:bCs/>
      <w:kern w:val="44"/>
      <w:sz w:val="32"/>
      <w:szCs w:val="4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er"/>
    <w:basedOn w:val="1"/>
    <w:link w:val="9"/>
    <w:qFormat/>
    <w:uiPriority w:val="0"/>
    <w:pPr>
      <w:tabs>
        <w:tab w:val="center" w:pos="4153"/>
        <w:tab w:val="right" w:pos="8306"/>
      </w:tabs>
      <w:snapToGrid w:val="0"/>
      <w:jc w:val="left"/>
    </w:pPr>
    <w:rPr>
      <w:sz w:val="18"/>
      <w:szCs w:val="18"/>
    </w:rPr>
  </w:style>
  <w:style w:type="character" w:customStyle="1" w:styleId="9">
    <w:name w:val="页脚 字符"/>
    <w:basedOn w:val="8"/>
    <w:link w:val="6"/>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1351</Words>
  <Characters>1499</Characters>
  <Lines>12</Lines>
  <Paragraphs>3</Paragraphs>
  <TotalTime>0</TotalTime>
  <ScaleCrop>false</ScaleCrop>
  <LinksUpToDate>false</LinksUpToDate>
  <CharactersWithSpaces>1507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2022-02-10T08:22:00Z</dcterms:created>
  <dc:creator>在路上</dc:creator>
  <cp:lastModifiedBy>Administrator</cp:lastModifiedBy>
  <cp:lastPrinted>2023-02-14T08:53:00Z</cp:lastPrinted>
  <dcterms:modified xsi:type="dcterms:W3CDTF">2023-02-28T02:06:32Z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DC541623C1014E08BF6D438B9FAAE09C</vt:lpwstr>
  </property>
</Properties>
</file>