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line="360" w:lineRule="auto"/>
        <w:rPr>
          <w:rFonts w:ascii="宋体" w:hAnsi="宋体" w:cs="宋体"/>
          <w:b/>
          <w:bCs/>
          <w:sz w:val="36"/>
          <w:szCs w:val="36"/>
        </w:rPr>
      </w:pPr>
      <w:bookmarkStart w:id="0" w:name="_GoBack"/>
      <w:bookmarkEnd w:id="0"/>
      <w:r>
        <w:rPr>
          <w:rFonts w:hint="eastAsia" w:ascii="宋体" w:hAnsi="宋体" w:cs="宋体"/>
          <w:szCs w:val="21"/>
        </w:rPr>
        <w:t>202</w:t>
      </w:r>
      <w:r>
        <w:rPr>
          <w:rFonts w:hint="eastAsia" w:ascii="宋体" w:hAnsi="宋体" w:cs="宋体"/>
          <w:szCs w:val="21"/>
          <w:lang w:val="en-US" w:eastAsia="zh-CN"/>
        </w:rPr>
        <w:t>3</w:t>
      </w:r>
      <w:r>
        <w:rPr>
          <w:rFonts w:hint="eastAsia" w:ascii="宋体" w:hAnsi="宋体" w:cs="宋体"/>
          <w:szCs w:val="21"/>
        </w:rPr>
        <w:t>年贵州省农业主推技术</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华文中宋" w:hAnsi="华文中宋" w:eastAsia="华文中宋"/>
          <w:b/>
          <w:sz w:val="48"/>
          <w:szCs w:val="48"/>
        </w:rPr>
      </w:pPr>
      <w:r>
        <w:rPr>
          <w:rFonts w:hint="eastAsia" w:ascii="华文中宋" w:hAnsi="华文中宋" w:eastAsia="华文中宋"/>
          <w:b/>
          <w:sz w:val="48"/>
          <w:szCs w:val="48"/>
          <w:lang w:eastAsia="zh-CN"/>
        </w:rPr>
        <w:t>油菜</w:t>
      </w:r>
      <w:r>
        <w:rPr>
          <w:rFonts w:hint="eastAsia" w:ascii="华文中宋" w:hAnsi="华文中宋" w:eastAsia="华文中宋"/>
          <w:b/>
          <w:sz w:val="48"/>
          <w:szCs w:val="48"/>
        </w:rPr>
        <w:t>机械化浅旋耕直播技术</w:t>
      </w:r>
    </w:p>
    <w:p>
      <w:pPr>
        <w:adjustRightInd w:val="0"/>
        <w:snapToGrid w:val="0"/>
        <w:spacing w:line="600" w:lineRule="exact"/>
        <w:ind w:firstLine="640" w:firstLineChars="200"/>
        <w:rPr>
          <w:rFonts w:ascii="Times New Roman" w:hAnsi="Times New Roman" w:eastAsia="黑体"/>
          <w:bCs/>
          <w:color w:val="000000"/>
          <w:sz w:val="32"/>
          <w:szCs w:val="32"/>
        </w:rPr>
      </w:pPr>
      <w:r>
        <w:rPr>
          <w:rFonts w:ascii="Times New Roman" w:hAnsi="Times New Roman" w:eastAsia="黑体"/>
          <w:bCs/>
          <w:color w:val="000000"/>
          <w:sz w:val="32"/>
          <w:szCs w:val="32"/>
        </w:rPr>
        <w:t>一、技术概述</w:t>
      </w:r>
    </w:p>
    <w:p>
      <w:pPr>
        <w:snapToGrid w:val="0"/>
        <w:spacing w:line="560" w:lineRule="exact"/>
        <w:ind w:firstLine="643" w:firstLineChars="200"/>
        <w:rPr>
          <w:rFonts w:ascii="Times New Roman" w:hAnsi="Times New Roman" w:eastAsia="楷体_GB2312"/>
          <w:b/>
          <w:color w:val="000000"/>
          <w:sz w:val="28"/>
          <w:szCs w:val="28"/>
        </w:rPr>
      </w:pPr>
      <w:r>
        <w:rPr>
          <w:rFonts w:ascii="Times New Roman" w:hAnsi="Times New Roman" w:eastAsia="楷体"/>
          <w:b/>
          <w:color w:val="000000"/>
          <w:sz w:val="32"/>
          <w:szCs w:val="32"/>
        </w:rPr>
        <w:t>（一）技术基本情况</w:t>
      </w:r>
    </w:p>
    <w:p>
      <w:pPr>
        <w:snapToGrid w:val="0"/>
        <w:spacing w:line="560" w:lineRule="exact"/>
        <w:ind w:firstLine="480" w:firstLineChars="200"/>
        <w:rPr>
          <w:rFonts w:hint="eastAsia" w:asciiTheme="minorEastAsia" w:hAnsiTheme="minorEastAsia" w:eastAsiaTheme="minorEastAsia" w:cstheme="minorEastAsia"/>
          <w:b w:val="0"/>
          <w:bCs/>
          <w:color w:val="000000"/>
          <w:sz w:val="24"/>
          <w:szCs w:val="24"/>
          <w:lang w:val="en-US" w:eastAsia="zh-CN"/>
        </w:rPr>
      </w:pPr>
      <w:r>
        <w:rPr>
          <w:rFonts w:hint="eastAsia" w:asciiTheme="minorEastAsia" w:hAnsiTheme="minorEastAsia" w:eastAsiaTheme="minorEastAsia" w:cstheme="minorEastAsia"/>
          <w:b w:val="0"/>
          <w:bCs/>
          <w:color w:val="000000"/>
          <w:sz w:val="24"/>
          <w:szCs w:val="24"/>
          <w:lang w:eastAsia="zh-CN"/>
        </w:rPr>
        <w:t>我国作为世界油菜生产大国，无论是油菜品种、栽培技术、单产、品质都已高于世界平均水平</w:t>
      </w:r>
      <w:r>
        <w:rPr>
          <w:rFonts w:hint="eastAsia" w:asciiTheme="minorEastAsia" w:hAnsiTheme="minorEastAsia" w:cstheme="minorEastAsia"/>
          <w:b w:val="0"/>
          <w:bCs/>
          <w:color w:val="000000"/>
          <w:sz w:val="24"/>
          <w:szCs w:val="24"/>
          <w:lang w:eastAsia="zh-CN"/>
        </w:rPr>
        <w:t>。</w:t>
      </w:r>
      <w:r>
        <w:rPr>
          <w:rFonts w:hint="eastAsia" w:asciiTheme="minorEastAsia" w:hAnsiTheme="minorEastAsia" w:eastAsiaTheme="minorEastAsia" w:cstheme="minorEastAsia"/>
          <w:b w:val="0"/>
          <w:bCs/>
          <w:color w:val="000000"/>
          <w:sz w:val="24"/>
          <w:szCs w:val="24"/>
          <w:lang w:eastAsia="zh-CN"/>
        </w:rPr>
        <w:t>贵州属于长江上游油菜优势区，是全国油菜主要产区之一，全省均属油菜种植适宜区，</w:t>
      </w:r>
      <w:r>
        <w:rPr>
          <w:rFonts w:hint="eastAsia" w:asciiTheme="minorEastAsia" w:hAnsiTheme="minorEastAsia" w:eastAsiaTheme="minorEastAsia" w:cstheme="minorEastAsia"/>
          <w:b w:val="0"/>
          <w:bCs/>
          <w:color w:val="000000"/>
          <w:sz w:val="24"/>
          <w:szCs w:val="24"/>
          <w:lang w:val="en-US" w:eastAsia="zh-CN"/>
        </w:rPr>
        <w:t>2022年—2023年全省油菜播种面积为855.7万亩、同比增98.7万亩，增13.0%</w:t>
      </w:r>
      <w:r>
        <w:rPr>
          <w:rFonts w:hint="eastAsia" w:asciiTheme="minorEastAsia" w:hAnsiTheme="minorEastAsia" w:cstheme="minorEastAsia"/>
          <w:b w:val="0"/>
          <w:bCs/>
          <w:color w:val="000000"/>
          <w:sz w:val="24"/>
          <w:szCs w:val="24"/>
          <w:lang w:val="en-US" w:eastAsia="zh-CN"/>
        </w:rPr>
        <w:t>。</w:t>
      </w:r>
      <w:r>
        <w:rPr>
          <w:rFonts w:hint="eastAsia" w:asciiTheme="minorEastAsia" w:hAnsiTheme="minorEastAsia" w:eastAsiaTheme="minorEastAsia" w:cstheme="minorEastAsia"/>
          <w:b w:val="0"/>
          <w:bCs/>
          <w:color w:val="000000"/>
          <w:sz w:val="24"/>
          <w:szCs w:val="24"/>
          <w:lang w:eastAsia="zh-CN"/>
        </w:rPr>
        <w:t>但贵州油菜机械</w:t>
      </w:r>
      <w:r>
        <w:rPr>
          <w:rFonts w:hint="eastAsia" w:asciiTheme="minorEastAsia" w:hAnsiTheme="minorEastAsia" w:eastAsiaTheme="minorEastAsia" w:cstheme="minorEastAsia"/>
          <w:b w:val="0"/>
          <w:bCs/>
          <w:color w:val="000000"/>
          <w:sz w:val="24"/>
          <w:szCs w:val="24"/>
          <w:lang w:val="en-US" w:eastAsia="zh-CN"/>
        </w:rPr>
        <w:t>化水平缺落后于全国平均水平，农业机械化程度低，随着人工成本增加和种子、化肥、农药等农资价格持续上涨，油菜种植成本不断提升，亩均纯收益仅为200元左右</w:t>
      </w:r>
      <w:r>
        <w:rPr>
          <w:rFonts w:hint="eastAsia" w:asciiTheme="minorEastAsia" w:hAnsiTheme="minorEastAsia" w:eastAsiaTheme="minorEastAsia" w:cstheme="minorEastAsia"/>
          <w:b w:val="0"/>
          <w:bCs/>
          <w:color w:val="000000"/>
          <w:sz w:val="24"/>
          <w:szCs w:val="24"/>
          <w:lang w:eastAsia="zh-CN"/>
        </w:rPr>
        <w:t>，开展适宜贵州油菜生产适用的机械化技术研究迫在眉睫</w:t>
      </w:r>
      <w:r>
        <w:rPr>
          <w:rFonts w:hint="eastAsia" w:asciiTheme="minorEastAsia" w:hAnsiTheme="minorEastAsia" w:eastAsiaTheme="minorEastAsia" w:cstheme="minorEastAsia"/>
          <w:b w:val="0"/>
          <w:bCs/>
          <w:color w:val="000000"/>
          <w:sz w:val="24"/>
          <w:szCs w:val="24"/>
          <w:lang w:val="en-US" w:eastAsia="zh-CN"/>
        </w:rPr>
        <w:t>。</w:t>
      </w:r>
    </w:p>
    <w:p>
      <w:pPr>
        <w:snapToGrid w:val="0"/>
        <w:spacing w:line="560" w:lineRule="exact"/>
        <w:ind w:firstLine="480" w:firstLineChars="200"/>
        <w:rPr>
          <w:rFonts w:hint="default" w:ascii="Times New Roman" w:hAnsi="Times New Roman" w:eastAsia="仿宋_GB2312" w:cs="Times New Roman"/>
          <w:b w:val="0"/>
          <w:bCs w:val="0"/>
          <w:i w:val="0"/>
          <w:caps w:val="0"/>
          <w:color w:val="000000"/>
          <w:spacing w:val="0"/>
          <w:w w:val="100"/>
          <w:kern w:val="2"/>
          <w:sz w:val="28"/>
          <w:szCs w:val="28"/>
          <w:lang w:val="en-US" w:eastAsia="zh-CN" w:bidi="ar-SA"/>
        </w:rPr>
      </w:pPr>
      <w:r>
        <w:rPr>
          <w:rFonts w:hint="eastAsia" w:asciiTheme="minorEastAsia" w:hAnsiTheme="minorEastAsia" w:eastAsiaTheme="minorEastAsia" w:cstheme="minorEastAsia"/>
          <w:b w:val="0"/>
          <w:bCs/>
          <w:color w:val="000000"/>
          <w:sz w:val="24"/>
          <w:szCs w:val="24"/>
          <w:lang w:val="en-US" w:eastAsia="zh-CN"/>
        </w:rPr>
        <w:t>贵州省油菜研究所通过多年的技术研发和应用，形成了“机械化浅旋耕直播技术”，该技术是在水稻收割后，利用旋耕机械将土壤翻耕、打碎、开沟、整垄后直接在厢面上播种油菜籽的一项机械化新型技术，一次性完成播种，对比传统种植模式，无需整地开沟、育苗移栽等步骤，具有省工省力、操作简便、节本增效的特点，可极大缓解贵州油菜种植面临的劳动力缺乏、人工成本高、茬口矛盾等问题</w:t>
      </w:r>
      <w:r>
        <w:rPr>
          <w:rFonts w:hint="eastAsia" w:asciiTheme="minorEastAsia" w:hAnsiTheme="minorEastAsia" w:cstheme="minorEastAsia"/>
          <w:b w:val="0"/>
          <w:bCs/>
          <w:color w:val="000000"/>
          <w:sz w:val="24"/>
          <w:szCs w:val="24"/>
          <w:lang w:val="en-US" w:eastAsia="zh-CN"/>
        </w:rPr>
        <w:t>，</w:t>
      </w:r>
      <w:r>
        <w:rPr>
          <w:rFonts w:hint="eastAsia" w:asciiTheme="minorEastAsia" w:hAnsiTheme="minorEastAsia" w:eastAsiaTheme="minorEastAsia" w:cstheme="minorEastAsia"/>
          <w:b w:val="0"/>
          <w:bCs/>
          <w:color w:val="000000"/>
          <w:sz w:val="24"/>
          <w:szCs w:val="24"/>
          <w:lang w:eastAsia="zh-CN"/>
        </w:rPr>
        <w:t>深挖我省油菜生产潜力，</w:t>
      </w:r>
      <w:r>
        <w:rPr>
          <w:rFonts w:hint="eastAsia" w:asciiTheme="minorEastAsia" w:hAnsiTheme="minorEastAsia" w:eastAsiaTheme="minorEastAsia" w:cstheme="minorEastAsia"/>
          <w:b w:val="0"/>
          <w:bCs/>
          <w:color w:val="000000"/>
          <w:sz w:val="24"/>
          <w:szCs w:val="24"/>
          <w:lang w:val="en" w:eastAsia="zh-CN"/>
        </w:rPr>
        <w:t>加大</w:t>
      </w:r>
      <w:r>
        <w:rPr>
          <w:rFonts w:hint="eastAsia" w:asciiTheme="minorEastAsia" w:hAnsiTheme="minorEastAsia" w:eastAsiaTheme="minorEastAsia" w:cstheme="minorEastAsia"/>
          <w:b w:val="0"/>
          <w:bCs/>
          <w:color w:val="000000"/>
          <w:sz w:val="24"/>
          <w:szCs w:val="24"/>
          <w:lang w:eastAsia="zh-CN"/>
        </w:rPr>
        <w:t>冬闲田土</w:t>
      </w:r>
      <w:r>
        <w:rPr>
          <w:rFonts w:hint="eastAsia" w:asciiTheme="minorEastAsia" w:hAnsiTheme="minorEastAsia" w:eastAsiaTheme="minorEastAsia" w:cstheme="minorEastAsia"/>
          <w:b w:val="0"/>
          <w:bCs/>
          <w:color w:val="000000"/>
          <w:sz w:val="24"/>
          <w:szCs w:val="24"/>
          <w:lang w:val="en" w:eastAsia="zh-CN"/>
        </w:rPr>
        <w:t>开发利用，</w:t>
      </w:r>
      <w:r>
        <w:rPr>
          <w:rFonts w:hint="eastAsia" w:asciiTheme="minorEastAsia" w:hAnsiTheme="minorEastAsia" w:eastAsiaTheme="minorEastAsia" w:cstheme="minorEastAsia"/>
          <w:b w:val="0"/>
          <w:bCs/>
          <w:color w:val="000000"/>
          <w:sz w:val="24"/>
          <w:szCs w:val="24"/>
          <w:lang w:eastAsia="zh-CN"/>
        </w:rPr>
        <w:t>持续提升单产水平，增强供给能力</w:t>
      </w:r>
      <w:r>
        <w:rPr>
          <w:rFonts w:hint="eastAsia" w:asciiTheme="minorEastAsia" w:hAnsiTheme="minorEastAsia" w:cstheme="minorEastAsia"/>
          <w:b w:val="0"/>
          <w:bCs/>
          <w:color w:val="000000"/>
          <w:sz w:val="24"/>
          <w:szCs w:val="24"/>
          <w:lang w:eastAsia="zh-CN"/>
        </w:rPr>
        <w:t>。</w:t>
      </w:r>
    </w:p>
    <w:p>
      <w:pPr>
        <w:snapToGrid w:val="0"/>
        <w:spacing w:line="600" w:lineRule="exact"/>
        <w:ind w:firstLine="640"/>
        <w:rPr>
          <w:rFonts w:ascii="Times New Roman" w:hAnsi="Times New Roman" w:eastAsia="楷体_GB2312"/>
          <w:b/>
          <w:color w:val="000000"/>
          <w:sz w:val="28"/>
          <w:szCs w:val="28"/>
        </w:rPr>
      </w:pPr>
      <w:r>
        <w:rPr>
          <w:rFonts w:ascii="Times New Roman" w:hAnsi="Times New Roman" w:eastAsia="楷体"/>
          <w:b/>
          <w:color w:val="000000"/>
          <w:sz w:val="32"/>
          <w:szCs w:val="32"/>
        </w:rPr>
        <w:t>（二）技术示范推广情况</w:t>
      </w:r>
    </w:p>
    <w:p>
      <w:pPr>
        <w:snapToGrid w:val="0"/>
        <w:spacing w:line="560" w:lineRule="exact"/>
        <w:ind w:firstLine="480" w:firstLineChars="200"/>
        <w:rPr>
          <w:rFonts w:hint="default" w:asciiTheme="minorEastAsia" w:hAnsiTheme="minorEastAsia" w:eastAsiaTheme="minorEastAsia" w:cstheme="minorEastAsia"/>
          <w:b w:val="0"/>
          <w:bCs/>
          <w:color w:val="000000"/>
          <w:sz w:val="24"/>
          <w:szCs w:val="24"/>
          <w:lang w:val="en-US" w:eastAsia="zh-CN"/>
        </w:rPr>
      </w:pPr>
      <w:r>
        <w:rPr>
          <w:rFonts w:hint="eastAsia" w:asciiTheme="minorEastAsia" w:hAnsiTheme="minorEastAsia" w:eastAsiaTheme="minorEastAsia" w:cstheme="minorEastAsia"/>
          <w:b w:val="0"/>
          <w:bCs/>
          <w:color w:val="000000"/>
          <w:sz w:val="24"/>
          <w:szCs w:val="24"/>
          <w:lang w:eastAsia="zh-CN"/>
        </w:rPr>
        <w:t>目前，通过</w:t>
      </w:r>
      <w:r>
        <w:rPr>
          <w:rFonts w:hint="eastAsia" w:asciiTheme="minorEastAsia" w:hAnsiTheme="minorEastAsia" w:eastAsiaTheme="minorEastAsia" w:cstheme="minorEastAsia"/>
          <w:b w:val="0"/>
          <w:bCs/>
          <w:color w:val="000000"/>
          <w:sz w:val="24"/>
          <w:szCs w:val="24"/>
          <w:lang w:val="en-US" w:eastAsia="zh-CN"/>
        </w:rPr>
        <w:t>多年的技术开发与应用，已在贵州多地开展了推广应用，在贵定县（1500亩）、湄潭县（1000亩）、思南县（1100亩）、都匀市（800亩）、安顺市（1000亩）均形成了固定的油菜机械化浅旋耕直播技术应用示范基地，常年开展技术示范工作，</w:t>
      </w:r>
      <w:r>
        <w:rPr>
          <w:rFonts w:hint="eastAsia" w:asciiTheme="minorEastAsia" w:hAnsiTheme="minorEastAsia" w:cstheme="minorEastAsia"/>
          <w:b w:val="0"/>
          <w:bCs/>
          <w:color w:val="000000"/>
          <w:sz w:val="24"/>
          <w:szCs w:val="24"/>
          <w:lang w:val="en-US" w:eastAsia="zh-CN"/>
        </w:rPr>
        <w:t>为多家企业、合作社提供了新型技术服务。</w:t>
      </w:r>
    </w:p>
    <w:p>
      <w:pPr>
        <w:snapToGrid w:val="0"/>
        <w:spacing w:line="600" w:lineRule="exact"/>
        <w:ind w:firstLine="640"/>
        <w:rPr>
          <w:rFonts w:ascii="Times New Roman" w:hAnsi="Times New Roman" w:eastAsia="楷体_GB2312"/>
          <w:b/>
          <w:color w:val="000000"/>
          <w:sz w:val="28"/>
          <w:szCs w:val="28"/>
        </w:rPr>
      </w:pPr>
      <w:r>
        <w:rPr>
          <w:rFonts w:ascii="Times New Roman" w:hAnsi="Times New Roman" w:eastAsia="楷体"/>
          <w:b/>
          <w:color w:val="000000"/>
          <w:sz w:val="32"/>
          <w:szCs w:val="32"/>
        </w:rPr>
        <w:t>（三）提质增效情况</w:t>
      </w:r>
    </w:p>
    <w:p>
      <w:pPr>
        <w:snapToGrid w:val="0"/>
        <w:spacing w:line="560" w:lineRule="exact"/>
        <w:ind w:firstLine="480" w:firstLineChars="200"/>
        <w:rPr>
          <w:rFonts w:hint="eastAsia" w:asciiTheme="minorEastAsia" w:hAnsiTheme="minorEastAsia" w:cstheme="minorEastAsia"/>
          <w:b w:val="0"/>
          <w:bCs/>
          <w:color w:val="000000"/>
          <w:sz w:val="24"/>
          <w:szCs w:val="24"/>
          <w:lang w:val="en-US" w:eastAsia="zh-CN"/>
        </w:rPr>
      </w:pPr>
      <w:r>
        <w:rPr>
          <w:rFonts w:hint="eastAsia" w:asciiTheme="minorEastAsia" w:hAnsiTheme="minorEastAsia" w:cstheme="minorEastAsia"/>
          <w:b w:val="0"/>
          <w:bCs/>
          <w:color w:val="000000"/>
          <w:sz w:val="24"/>
          <w:szCs w:val="24"/>
          <w:lang w:val="en-US" w:eastAsia="zh-CN"/>
        </w:rPr>
        <w:t>对比传统育苗移栽模式，油菜机械化浅旋耕直播技术可节本增效提升</w:t>
      </w:r>
      <w:r>
        <w:rPr>
          <w:rFonts w:hint="default" w:asciiTheme="minorEastAsia" w:hAnsiTheme="minorEastAsia" w:cstheme="minorEastAsia"/>
          <w:b w:val="0"/>
          <w:bCs/>
          <w:color w:val="000000"/>
          <w:sz w:val="24"/>
          <w:szCs w:val="24"/>
          <w:lang w:val="en-US" w:eastAsia="zh-CN"/>
        </w:rPr>
        <w:t>15</w:t>
      </w:r>
      <w:r>
        <w:rPr>
          <w:rFonts w:hint="eastAsia" w:asciiTheme="minorEastAsia" w:hAnsiTheme="minorEastAsia" w:cstheme="minorEastAsia"/>
          <w:b w:val="0"/>
          <w:bCs/>
          <w:color w:val="000000"/>
          <w:sz w:val="24"/>
          <w:szCs w:val="24"/>
          <w:lang w:val="en-US" w:eastAsia="zh-CN"/>
        </w:rPr>
        <w:t>0-</w:t>
      </w:r>
      <w:r>
        <w:rPr>
          <w:rFonts w:hint="default" w:asciiTheme="minorEastAsia" w:hAnsiTheme="minorEastAsia" w:cstheme="minorEastAsia"/>
          <w:b w:val="0"/>
          <w:bCs/>
          <w:color w:val="000000"/>
          <w:sz w:val="24"/>
          <w:szCs w:val="24"/>
          <w:lang w:val="en-US" w:eastAsia="zh-CN"/>
        </w:rPr>
        <w:t>3</w:t>
      </w:r>
      <w:r>
        <w:rPr>
          <w:rFonts w:hint="eastAsia" w:asciiTheme="minorEastAsia" w:hAnsiTheme="minorEastAsia" w:cstheme="minorEastAsia"/>
          <w:b w:val="0"/>
          <w:bCs/>
          <w:color w:val="000000"/>
          <w:sz w:val="24"/>
          <w:szCs w:val="24"/>
          <w:lang w:val="en-US" w:eastAsia="zh-CN"/>
        </w:rPr>
        <w:t>00元/亩收益，该技术在提质增效主要表现以下方面：</w:t>
      </w:r>
    </w:p>
    <w:p>
      <w:pPr>
        <w:snapToGrid w:val="0"/>
        <w:spacing w:line="560" w:lineRule="exact"/>
        <w:ind w:firstLine="480" w:firstLineChars="200"/>
        <w:rPr>
          <w:rFonts w:hint="eastAsia" w:asciiTheme="minorEastAsia" w:hAnsiTheme="minorEastAsia" w:cstheme="minorEastAsia"/>
          <w:b w:val="0"/>
          <w:bCs/>
          <w:color w:val="000000"/>
          <w:sz w:val="24"/>
          <w:szCs w:val="24"/>
          <w:lang w:val="en-US" w:eastAsia="zh-CN"/>
        </w:rPr>
      </w:pPr>
      <w:r>
        <w:rPr>
          <w:rFonts w:hint="eastAsia" w:asciiTheme="minorEastAsia" w:hAnsiTheme="minorEastAsia" w:cstheme="minorEastAsia"/>
          <w:b w:val="0"/>
          <w:bCs/>
          <w:color w:val="000000"/>
          <w:sz w:val="24"/>
          <w:szCs w:val="24"/>
          <w:lang w:val="en-US" w:eastAsia="zh-CN"/>
        </w:rPr>
        <w:t>1、土壤适墒管理：前茬水稻保水，底墒较好，出苗率提高20—25%，苗情整齐，长势良好。</w:t>
      </w:r>
    </w:p>
    <w:p>
      <w:pPr>
        <w:snapToGrid w:val="0"/>
        <w:spacing w:line="560" w:lineRule="exact"/>
        <w:ind w:firstLine="480" w:firstLineChars="200"/>
        <w:rPr>
          <w:rFonts w:hint="eastAsia" w:asciiTheme="minorEastAsia" w:hAnsiTheme="minorEastAsia" w:cstheme="minorEastAsia"/>
          <w:b w:val="0"/>
          <w:bCs/>
          <w:color w:val="000000"/>
          <w:sz w:val="24"/>
          <w:szCs w:val="24"/>
          <w:lang w:val="en-US" w:eastAsia="zh-CN"/>
        </w:rPr>
      </w:pPr>
      <w:r>
        <w:rPr>
          <w:rFonts w:hint="eastAsia" w:asciiTheme="minorEastAsia" w:hAnsiTheme="minorEastAsia" w:cstheme="minorEastAsia"/>
          <w:b w:val="0"/>
          <w:bCs/>
          <w:color w:val="000000"/>
          <w:sz w:val="24"/>
          <w:szCs w:val="24"/>
          <w:lang w:val="en-US" w:eastAsia="zh-CN"/>
        </w:rPr>
        <w:t>2、密度调控：通过“以密增产，以密补肥，以密控草”的方式，无需补苗、间苗，节省1个工天；相同产量下可减少氮肥用量20%左右，亩减少肥料投入15元；10叶期后形成竞争优势，可抑制杂草生长，亩节约化学除草用药10元。</w:t>
      </w:r>
    </w:p>
    <w:p>
      <w:pPr>
        <w:snapToGrid w:val="0"/>
        <w:spacing w:line="560" w:lineRule="exact"/>
        <w:ind w:firstLine="480" w:firstLineChars="200"/>
        <w:rPr>
          <w:rFonts w:hint="default" w:asciiTheme="minorEastAsia" w:hAnsiTheme="minorEastAsia" w:cstheme="minorEastAsia"/>
          <w:b w:val="0"/>
          <w:bCs/>
          <w:color w:val="000000"/>
          <w:sz w:val="24"/>
          <w:szCs w:val="24"/>
          <w:lang w:val="en-US" w:eastAsia="zh-CN"/>
        </w:rPr>
      </w:pPr>
      <w:r>
        <w:rPr>
          <w:rFonts w:hint="eastAsia" w:asciiTheme="minorEastAsia" w:hAnsiTheme="minorEastAsia" w:cstheme="minorEastAsia"/>
          <w:b w:val="0"/>
          <w:bCs/>
          <w:color w:val="000000"/>
          <w:sz w:val="24"/>
          <w:szCs w:val="24"/>
          <w:lang w:val="en-US" w:eastAsia="zh-CN"/>
        </w:rPr>
        <w:t>3、机械化播种：省去了育苗移栽的步骤，大量节约用工成本，亩综合效益增加80元以上。同时，机械化播种效率高，视不同田块条件，每人每天可播种</w:t>
      </w:r>
      <w:r>
        <w:rPr>
          <w:rFonts w:hint="default" w:asciiTheme="minorEastAsia" w:hAnsiTheme="minorEastAsia" w:cstheme="minorEastAsia"/>
          <w:b w:val="0"/>
          <w:bCs/>
          <w:color w:val="000000"/>
          <w:sz w:val="24"/>
          <w:szCs w:val="24"/>
          <w:lang w:val="en-US" w:eastAsia="zh-CN"/>
        </w:rPr>
        <w:t>1</w:t>
      </w:r>
      <w:r>
        <w:rPr>
          <w:rFonts w:hint="eastAsia" w:asciiTheme="minorEastAsia" w:hAnsiTheme="minorEastAsia" w:cstheme="minorEastAsia"/>
          <w:b w:val="0"/>
          <w:bCs/>
          <w:color w:val="000000"/>
          <w:sz w:val="24"/>
          <w:szCs w:val="24"/>
          <w:lang w:val="en-US" w:eastAsia="zh-CN"/>
        </w:rPr>
        <w:t>0-</w:t>
      </w:r>
      <w:r>
        <w:rPr>
          <w:rFonts w:hint="default" w:asciiTheme="minorEastAsia" w:hAnsiTheme="minorEastAsia" w:cstheme="minorEastAsia"/>
          <w:b w:val="0"/>
          <w:bCs/>
          <w:color w:val="000000"/>
          <w:sz w:val="24"/>
          <w:szCs w:val="24"/>
          <w:lang w:val="en-US" w:eastAsia="zh-CN"/>
        </w:rPr>
        <w:t>4</w:t>
      </w:r>
      <w:r>
        <w:rPr>
          <w:rFonts w:hint="eastAsia" w:asciiTheme="minorEastAsia" w:hAnsiTheme="minorEastAsia" w:cstheme="minorEastAsia"/>
          <w:b w:val="0"/>
          <w:bCs/>
          <w:color w:val="000000"/>
          <w:sz w:val="24"/>
          <w:szCs w:val="24"/>
          <w:lang w:val="en-US" w:eastAsia="zh-CN"/>
        </w:rPr>
        <w:t>0亩,可极大缓解茬口矛盾。</w:t>
      </w:r>
    </w:p>
    <w:p>
      <w:pPr>
        <w:snapToGrid w:val="0"/>
        <w:spacing w:line="560" w:lineRule="exact"/>
        <w:ind w:firstLine="480" w:firstLineChars="200"/>
        <w:rPr>
          <w:rFonts w:hint="eastAsia" w:ascii="宋体" w:hAnsi="宋体" w:eastAsia="宋体" w:cs="宋体"/>
          <w:sz w:val="24"/>
          <w:szCs w:val="24"/>
          <w:lang w:val="en-US" w:eastAsia="zh-CN"/>
        </w:rPr>
      </w:pPr>
      <w:r>
        <w:rPr>
          <w:rFonts w:hint="eastAsia" w:asciiTheme="minorEastAsia" w:hAnsiTheme="minorEastAsia" w:cstheme="minorEastAsia"/>
          <w:b w:val="0"/>
          <w:bCs/>
          <w:color w:val="000000"/>
          <w:sz w:val="24"/>
          <w:szCs w:val="24"/>
          <w:lang w:val="en-US" w:eastAsia="zh-CN"/>
        </w:rPr>
        <w:t>4、科学施肥与病虫害防治：科学施用提苗肥、腊肥，花期采取</w:t>
      </w:r>
      <w:r>
        <w:rPr>
          <w:rFonts w:hint="eastAsia" w:ascii="宋体" w:hAnsi="宋体" w:eastAsia="宋体" w:cs="宋体"/>
          <w:sz w:val="24"/>
          <w:szCs w:val="24"/>
          <w:lang w:val="en-US" w:eastAsia="zh-CN"/>
        </w:rPr>
        <w:t>“一促四防”措施，油菜菌核病明显减轻，结实率提高，千粒重增加，抗倒性增强，增产5%以上，亩综合效益增加20元以上。</w:t>
      </w:r>
    </w:p>
    <w:p>
      <w:pPr>
        <w:snapToGrid w:val="0"/>
        <w:spacing w:line="560" w:lineRule="exact"/>
        <w:ind w:firstLine="480" w:firstLineChars="200"/>
        <w:rPr>
          <w:rFonts w:hint="default" w:asciiTheme="minorEastAsia" w:hAnsiTheme="minorEastAsia" w:cstheme="minorEastAsia"/>
          <w:b w:val="0"/>
          <w:bCs/>
          <w:color w:val="000000"/>
          <w:sz w:val="24"/>
          <w:szCs w:val="24"/>
          <w:lang w:val="en-US" w:eastAsia="zh-CN"/>
        </w:rPr>
      </w:pPr>
      <w:r>
        <w:rPr>
          <w:rFonts w:hint="eastAsia" w:asciiTheme="minorEastAsia" w:hAnsiTheme="minorEastAsia" w:cstheme="minorEastAsia"/>
          <w:b w:val="0"/>
          <w:bCs/>
          <w:color w:val="000000"/>
          <w:sz w:val="24"/>
          <w:szCs w:val="24"/>
          <w:lang w:val="en-US" w:eastAsia="zh-CN"/>
        </w:rPr>
        <w:t>5、机械化收获：应用割晒机割晒、捡拾脱粒机脱粒进行机械分段收获，作业效率可达60亩/天。应用联合收获机进行联合收获，作业效率可达50亩/天。与传统的人工收获比较，机械收获省时省工，节约用工成本40元/亩以上。</w:t>
      </w:r>
    </w:p>
    <w:p>
      <w:pPr>
        <w:snapToGrid w:val="0"/>
        <w:spacing w:line="600" w:lineRule="exact"/>
        <w:ind w:firstLine="640" w:firstLineChars="200"/>
        <w:rPr>
          <w:rFonts w:ascii="Times New Roman" w:hAnsi="Times New Roman" w:eastAsia="黑体"/>
          <w:color w:val="000000"/>
          <w:sz w:val="28"/>
          <w:szCs w:val="28"/>
        </w:rPr>
      </w:pPr>
      <w:r>
        <w:rPr>
          <w:rFonts w:ascii="Times New Roman" w:hAnsi="Times New Roman" w:eastAsia="黑体"/>
          <w:color w:val="000000"/>
          <w:sz w:val="32"/>
          <w:szCs w:val="32"/>
        </w:rPr>
        <w:t>二、技术要点</w:t>
      </w:r>
    </w:p>
    <w:p>
      <w:pPr>
        <w:snapToGrid w:val="0"/>
        <w:spacing w:line="560" w:lineRule="exact"/>
        <w:ind w:firstLine="480" w:firstLineChars="200"/>
        <w:rPr>
          <w:rFonts w:hint="eastAsia" w:asciiTheme="minorEastAsia" w:hAnsiTheme="minorEastAsia" w:cstheme="minorEastAsia"/>
          <w:b w:val="0"/>
          <w:bCs/>
          <w:color w:val="000000"/>
          <w:sz w:val="24"/>
          <w:szCs w:val="24"/>
          <w:lang w:eastAsia="zh-CN"/>
        </w:rPr>
      </w:pPr>
      <w:r>
        <w:rPr>
          <w:rFonts w:hint="eastAsia" w:asciiTheme="minorEastAsia" w:hAnsiTheme="minorEastAsia" w:cstheme="minorEastAsia"/>
          <w:b w:val="0"/>
          <w:bCs/>
          <w:color w:val="000000"/>
          <w:sz w:val="24"/>
          <w:szCs w:val="24"/>
          <w:lang w:eastAsia="zh-CN"/>
        </w:rPr>
        <w:t>（一）土壤适熵管理与播期选择</w:t>
      </w:r>
    </w:p>
    <w:p>
      <w:pPr>
        <w:snapToGrid w:val="0"/>
        <w:spacing w:line="560" w:lineRule="exact"/>
        <w:ind w:firstLine="480" w:firstLineChars="200"/>
        <w:rPr>
          <w:rFonts w:hint="eastAsia" w:asciiTheme="minorEastAsia" w:hAnsiTheme="minorEastAsia" w:cstheme="minorEastAsia"/>
          <w:b w:val="0"/>
          <w:bCs/>
          <w:color w:val="000000"/>
          <w:sz w:val="24"/>
          <w:szCs w:val="24"/>
          <w:lang w:eastAsia="zh-CN"/>
        </w:rPr>
      </w:pPr>
      <w:r>
        <w:rPr>
          <w:rFonts w:hint="eastAsia" w:asciiTheme="minorEastAsia" w:hAnsiTheme="minorEastAsia" w:cstheme="minorEastAsia"/>
          <w:b w:val="0"/>
          <w:bCs/>
          <w:color w:val="000000"/>
          <w:sz w:val="24"/>
          <w:szCs w:val="24"/>
          <w:lang w:eastAsia="zh-CN"/>
        </w:rPr>
        <w:t>贵州是稻油二熟制冬油菜区，前茬多为水稻，还有一部分旱作，播期宜早不宜迟，最好选择在</w:t>
      </w:r>
      <w:r>
        <w:rPr>
          <w:rFonts w:hint="eastAsia" w:asciiTheme="minorEastAsia" w:hAnsiTheme="minorEastAsia" w:cstheme="minorEastAsia"/>
          <w:b w:val="0"/>
          <w:bCs/>
          <w:color w:val="000000"/>
          <w:sz w:val="24"/>
          <w:szCs w:val="24"/>
          <w:lang w:val="en-US" w:eastAsia="zh-CN"/>
        </w:rPr>
        <w:t>10</w:t>
      </w:r>
      <w:r>
        <w:rPr>
          <w:rFonts w:hint="eastAsia" w:asciiTheme="minorEastAsia" w:hAnsiTheme="minorEastAsia" w:cstheme="minorEastAsia"/>
          <w:b w:val="0"/>
          <w:bCs/>
          <w:color w:val="000000"/>
          <w:sz w:val="24"/>
          <w:szCs w:val="24"/>
          <w:lang w:eastAsia="zh-CN"/>
        </w:rPr>
        <w:t>月</w:t>
      </w:r>
      <w:r>
        <w:rPr>
          <w:rFonts w:hint="eastAsia" w:asciiTheme="minorEastAsia" w:hAnsiTheme="minorEastAsia" w:cstheme="minorEastAsia"/>
          <w:b w:val="0"/>
          <w:bCs/>
          <w:color w:val="000000"/>
          <w:sz w:val="24"/>
          <w:szCs w:val="24"/>
          <w:lang w:val="en-US" w:eastAsia="zh-CN"/>
        </w:rPr>
        <w:t>1</w:t>
      </w:r>
      <w:r>
        <w:rPr>
          <w:rFonts w:hint="eastAsia" w:asciiTheme="minorEastAsia" w:hAnsiTheme="minorEastAsia" w:cstheme="minorEastAsia"/>
          <w:b w:val="0"/>
          <w:bCs/>
          <w:color w:val="000000"/>
          <w:sz w:val="24"/>
          <w:szCs w:val="24"/>
          <w:lang w:eastAsia="zh-CN"/>
        </w:rPr>
        <w:t>日-10月20日播种，最迟不能迟于10月30日，前茬水稻勾头散籽时适度搁田，在水稻收割前15天排水放干，收获时留茬不高于30厘米，收获后晒田3-5天，南方地区土壤含水率较高、黏性大，在播种前一定要检查田块，要求软硬适中，不陷脚，不积水，使土壤含水率在20%-40%之间，超过40%，则出苗不均匀。</w:t>
      </w:r>
    </w:p>
    <w:p>
      <w:pPr>
        <w:snapToGrid w:val="0"/>
        <w:spacing w:line="560" w:lineRule="exact"/>
        <w:ind w:firstLine="480" w:firstLineChars="200"/>
        <w:rPr>
          <w:rFonts w:hint="eastAsia" w:asciiTheme="minorEastAsia" w:hAnsiTheme="minorEastAsia" w:cstheme="minorEastAsia"/>
          <w:b w:val="0"/>
          <w:bCs/>
          <w:color w:val="000000"/>
          <w:sz w:val="24"/>
          <w:szCs w:val="24"/>
          <w:lang w:eastAsia="zh-CN"/>
        </w:rPr>
      </w:pPr>
      <w:r>
        <w:rPr>
          <w:rFonts w:hint="eastAsia" w:asciiTheme="minorEastAsia" w:hAnsiTheme="minorEastAsia" w:cstheme="minorEastAsia"/>
          <w:b w:val="0"/>
          <w:bCs/>
          <w:color w:val="000000"/>
          <w:sz w:val="24"/>
          <w:szCs w:val="24"/>
          <w:lang w:eastAsia="zh-CN"/>
        </w:rPr>
        <w:t>（二）选用适宜油菜品种</w:t>
      </w:r>
    </w:p>
    <w:p>
      <w:pPr>
        <w:snapToGrid w:val="0"/>
        <w:spacing w:line="560" w:lineRule="exact"/>
        <w:ind w:firstLine="480" w:firstLineChars="200"/>
        <w:rPr>
          <w:rFonts w:hint="default" w:asciiTheme="minorEastAsia" w:hAnsiTheme="minorEastAsia" w:cstheme="minorEastAsia"/>
          <w:b w:val="0"/>
          <w:bCs/>
          <w:color w:val="000000"/>
          <w:sz w:val="24"/>
          <w:szCs w:val="24"/>
          <w:lang w:val="en-US" w:eastAsia="zh-CN"/>
        </w:rPr>
      </w:pPr>
      <w:r>
        <w:rPr>
          <w:rFonts w:hint="eastAsia" w:asciiTheme="minorEastAsia" w:hAnsiTheme="minorEastAsia" w:cstheme="minorEastAsia"/>
          <w:b w:val="0"/>
          <w:bCs/>
          <w:color w:val="000000"/>
          <w:sz w:val="24"/>
          <w:szCs w:val="24"/>
          <w:lang w:eastAsia="zh-CN"/>
        </w:rPr>
        <w:t>采用机械化播种，播期比育苗移栽相对较晚，为保证直播油菜能在冬前培育成壮苗，安全越冬，应选择生育期适中、耐迟播、抗寒性好、优质、高产、高抗、矮杆、耐密植、抗裂角、成熟度相对一致的油菜品种，比如油研</w:t>
      </w:r>
      <w:r>
        <w:rPr>
          <w:rFonts w:hint="eastAsia" w:asciiTheme="minorEastAsia" w:hAnsiTheme="minorEastAsia" w:cstheme="minorEastAsia"/>
          <w:b w:val="0"/>
          <w:bCs/>
          <w:color w:val="000000"/>
          <w:sz w:val="24"/>
          <w:szCs w:val="24"/>
          <w:lang w:val="en-US" w:eastAsia="zh-CN"/>
        </w:rPr>
        <w:t xml:space="preserve">2020、 </w:t>
      </w:r>
      <w:r>
        <w:rPr>
          <w:rFonts w:hint="eastAsia" w:asciiTheme="minorEastAsia" w:hAnsiTheme="minorEastAsia" w:cstheme="minorEastAsia"/>
          <w:b w:val="0"/>
          <w:bCs/>
          <w:color w:val="000000"/>
          <w:sz w:val="24"/>
          <w:szCs w:val="24"/>
          <w:lang w:eastAsia="zh-CN"/>
        </w:rPr>
        <w:t>油研10号、宝油早12等。</w:t>
      </w:r>
    </w:p>
    <w:p>
      <w:pPr>
        <w:snapToGrid w:val="0"/>
        <w:spacing w:line="560" w:lineRule="exact"/>
        <w:ind w:firstLine="480" w:firstLineChars="200"/>
        <w:rPr>
          <w:rFonts w:hint="eastAsia" w:asciiTheme="minorEastAsia" w:hAnsiTheme="minorEastAsia" w:cstheme="minorEastAsia"/>
          <w:b w:val="0"/>
          <w:bCs/>
          <w:color w:val="000000"/>
          <w:sz w:val="24"/>
          <w:szCs w:val="24"/>
          <w:lang w:eastAsia="zh-CN"/>
        </w:rPr>
      </w:pPr>
      <w:r>
        <w:rPr>
          <w:rFonts w:hint="eastAsia" w:asciiTheme="minorEastAsia" w:hAnsiTheme="minorEastAsia" w:cstheme="minorEastAsia"/>
          <w:b w:val="0"/>
          <w:bCs/>
          <w:color w:val="000000"/>
          <w:sz w:val="24"/>
          <w:szCs w:val="24"/>
          <w:lang w:eastAsia="zh-CN"/>
        </w:rPr>
        <w:t>（三）密度调控</w:t>
      </w:r>
    </w:p>
    <w:p>
      <w:pPr>
        <w:snapToGrid w:val="0"/>
        <w:spacing w:line="560" w:lineRule="exact"/>
        <w:ind w:firstLine="480" w:firstLineChars="200"/>
        <w:rPr>
          <w:rFonts w:hint="eastAsia" w:asciiTheme="minorEastAsia" w:hAnsiTheme="minorEastAsia" w:cstheme="minorEastAsia"/>
          <w:b w:val="0"/>
          <w:bCs/>
          <w:color w:val="000000"/>
          <w:sz w:val="24"/>
          <w:szCs w:val="24"/>
          <w:lang w:eastAsia="zh-CN"/>
        </w:rPr>
      </w:pPr>
      <w:r>
        <w:rPr>
          <w:rFonts w:hint="eastAsia" w:asciiTheme="minorEastAsia" w:hAnsiTheme="minorEastAsia" w:cstheme="minorEastAsia"/>
          <w:b w:val="0"/>
          <w:bCs/>
          <w:color w:val="000000"/>
          <w:sz w:val="24"/>
          <w:szCs w:val="24"/>
          <w:lang w:eastAsia="zh-CN"/>
        </w:rPr>
        <w:t>油菜栽培密度过大过小都不利于产量的提高，多年的实验证明，开展油菜机械化播种，亩用种量0.2-0.4公斤，保持基本苗在2.</w:t>
      </w:r>
      <w:r>
        <w:rPr>
          <w:rFonts w:hint="eastAsia" w:asciiTheme="minorEastAsia" w:hAnsiTheme="minorEastAsia" w:cstheme="minorEastAsia"/>
          <w:b w:val="0"/>
          <w:bCs/>
          <w:color w:val="000000"/>
          <w:sz w:val="24"/>
          <w:szCs w:val="24"/>
          <w:lang w:val="en-US" w:eastAsia="zh-CN"/>
        </w:rPr>
        <w:t>5</w:t>
      </w:r>
      <w:r>
        <w:rPr>
          <w:rFonts w:hint="eastAsia" w:asciiTheme="minorEastAsia" w:hAnsiTheme="minorEastAsia" w:cstheme="minorEastAsia"/>
          <w:b w:val="0"/>
          <w:bCs/>
          <w:color w:val="000000"/>
          <w:sz w:val="24"/>
          <w:szCs w:val="24"/>
          <w:lang w:eastAsia="zh-CN"/>
        </w:rPr>
        <w:t>-3万株左右，综合效益最好，同时又可抑制杂草生长，起到“以密增产，以密补肥，以密补迟，以密适机”的作用。</w:t>
      </w:r>
    </w:p>
    <w:p>
      <w:pPr>
        <w:snapToGrid w:val="0"/>
        <w:spacing w:line="560" w:lineRule="exact"/>
        <w:ind w:firstLine="480" w:firstLineChars="200"/>
        <w:rPr>
          <w:rFonts w:hint="eastAsia" w:asciiTheme="minorEastAsia" w:hAnsiTheme="minorEastAsia" w:cstheme="minorEastAsia"/>
          <w:b w:val="0"/>
          <w:bCs/>
          <w:color w:val="000000"/>
          <w:sz w:val="24"/>
          <w:szCs w:val="24"/>
          <w:lang w:eastAsia="zh-CN"/>
        </w:rPr>
      </w:pPr>
      <w:r>
        <w:rPr>
          <w:rFonts w:hint="eastAsia" w:asciiTheme="minorEastAsia" w:hAnsiTheme="minorEastAsia" w:cstheme="minorEastAsia"/>
          <w:b w:val="0"/>
          <w:bCs/>
          <w:color w:val="000000"/>
          <w:sz w:val="24"/>
          <w:szCs w:val="24"/>
          <w:lang w:eastAsia="zh-CN"/>
        </w:rPr>
        <w:t>（三）缓控释全营养一次施肥技术</w:t>
      </w:r>
    </w:p>
    <w:p>
      <w:pPr>
        <w:snapToGrid w:val="0"/>
        <w:spacing w:line="560" w:lineRule="exact"/>
        <w:ind w:firstLine="480" w:firstLineChars="200"/>
        <w:rPr>
          <w:rFonts w:hint="eastAsia" w:asciiTheme="minorEastAsia" w:hAnsiTheme="minorEastAsia" w:cstheme="minorEastAsia"/>
          <w:b w:val="0"/>
          <w:bCs/>
          <w:color w:val="000000"/>
          <w:sz w:val="24"/>
          <w:szCs w:val="24"/>
          <w:lang w:eastAsia="zh-CN"/>
        </w:rPr>
      </w:pPr>
      <w:r>
        <w:rPr>
          <w:rFonts w:hint="eastAsia" w:asciiTheme="minorEastAsia" w:hAnsiTheme="minorEastAsia" w:cstheme="minorEastAsia"/>
          <w:b w:val="0"/>
          <w:bCs/>
          <w:color w:val="000000"/>
          <w:sz w:val="24"/>
          <w:szCs w:val="24"/>
          <w:lang w:eastAsia="zh-CN"/>
        </w:rPr>
        <w:t>保持一定的密度是油菜机械化生产最大特点，在高密度条件下，油菜施肥比较困难，而且后期施肥均匀性差。应用基于区域土壤养分状况施用</w:t>
      </w:r>
      <w:r>
        <w:rPr>
          <w:rFonts w:hint="eastAsia" w:asciiTheme="minorEastAsia" w:hAnsiTheme="minorEastAsia" w:cstheme="minorEastAsia"/>
          <w:b w:val="0"/>
          <w:bCs/>
          <w:color w:val="000000"/>
          <w:sz w:val="24"/>
          <w:szCs w:val="24"/>
          <w:lang w:val="en-US" w:eastAsia="zh-CN"/>
        </w:rPr>
        <w:t>40-50kg</w:t>
      </w:r>
      <w:r>
        <w:rPr>
          <w:rFonts w:hint="eastAsia" w:asciiTheme="minorEastAsia" w:hAnsiTheme="minorEastAsia" w:cstheme="minorEastAsia"/>
          <w:b w:val="0"/>
          <w:bCs/>
          <w:color w:val="000000"/>
          <w:sz w:val="24"/>
          <w:szCs w:val="24"/>
          <w:lang w:eastAsia="zh-CN"/>
        </w:rPr>
        <w:t>油菜缓控释营养专用肥加</w:t>
      </w:r>
      <w:r>
        <w:rPr>
          <w:rFonts w:hint="default" w:asciiTheme="minorEastAsia" w:hAnsiTheme="minorEastAsia" w:cstheme="minorEastAsia"/>
          <w:b w:val="0"/>
          <w:bCs/>
          <w:color w:val="000000"/>
          <w:sz w:val="24"/>
          <w:szCs w:val="24"/>
          <w:lang w:val="en-US" w:eastAsia="zh-CN"/>
        </w:rPr>
        <w:t>1</w:t>
      </w:r>
      <w:r>
        <w:rPr>
          <w:rFonts w:hint="eastAsia" w:asciiTheme="minorEastAsia" w:hAnsiTheme="minorEastAsia" w:cstheme="minorEastAsia"/>
          <w:b w:val="0"/>
          <w:bCs/>
          <w:color w:val="000000"/>
          <w:sz w:val="24"/>
          <w:szCs w:val="24"/>
          <w:lang w:val="en-US" w:eastAsia="zh-CN"/>
        </w:rPr>
        <w:t>-</w:t>
      </w:r>
      <w:r>
        <w:rPr>
          <w:rFonts w:hint="default" w:asciiTheme="minorEastAsia" w:hAnsiTheme="minorEastAsia" w:cstheme="minorEastAsia"/>
          <w:b w:val="0"/>
          <w:bCs/>
          <w:color w:val="000000"/>
          <w:sz w:val="24"/>
          <w:szCs w:val="24"/>
          <w:lang w:val="en-US" w:eastAsia="zh-CN"/>
        </w:rPr>
        <w:t>2</w:t>
      </w:r>
      <w:r>
        <w:rPr>
          <w:rFonts w:hint="eastAsia" w:asciiTheme="minorEastAsia" w:hAnsiTheme="minorEastAsia" w:cstheme="minorEastAsia"/>
          <w:b w:val="0"/>
          <w:bCs/>
          <w:color w:val="000000"/>
          <w:sz w:val="24"/>
          <w:szCs w:val="24"/>
          <w:lang w:val="en-US" w:eastAsia="zh-CN"/>
        </w:rPr>
        <w:t>kg硼肥</w:t>
      </w:r>
      <w:r>
        <w:rPr>
          <w:rFonts w:hint="eastAsia" w:asciiTheme="minorEastAsia" w:hAnsiTheme="minorEastAsia" w:cstheme="minorEastAsia"/>
          <w:b w:val="0"/>
          <w:bCs/>
          <w:color w:val="000000"/>
          <w:sz w:val="24"/>
          <w:szCs w:val="24"/>
          <w:lang w:eastAsia="zh-CN"/>
        </w:rPr>
        <w:t>作基肥施用，通过联合播种机一次性基施，具有营养平衡、有效期长、利用效率高等优点，并有效保护环境。</w:t>
      </w:r>
    </w:p>
    <w:p>
      <w:pPr>
        <w:snapToGrid w:val="0"/>
        <w:spacing w:line="560" w:lineRule="exact"/>
        <w:ind w:firstLine="480" w:firstLineChars="200"/>
        <w:jc w:val="center"/>
        <w:rPr>
          <w:rFonts w:hint="eastAsia" w:ascii="方正黑体_GBK" w:hAnsi="方正黑体_GBK" w:eastAsia="方正黑体_GBK" w:cs="方正黑体_GBK"/>
          <w:b/>
          <w:bCs w:val="0"/>
          <w:color w:val="000000"/>
          <w:sz w:val="22"/>
          <w:szCs w:val="22"/>
          <w:lang w:val="en-US" w:eastAsia="zh-CN"/>
        </w:rPr>
      </w:pPr>
      <w:r>
        <w:rPr>
          <w:rFonts w:hint="default" w:asciiTheme="minorEastAsia" w:hAnsiTheme="minorEastAsia" w:cstheme="minorEastAsia"/>
          <w:b w:val="0"/>
          <w:bCs/>
          <w:color w:val="000000"/>
          <w:sz w:val="24"/>
          <w:szCs w:val="24"/>
          <w:lang w:val="en-US" w:eastAsia="zh-CN"/>
        </w:rPr>
        <w:drawing>
          <wp:anchor distT="0" distB="0" distL="114300" distR="114300" simplePos="0" relativeHeight="251660288" behindDoc="0" locked="0" layoutInCell="1" allowOverlap="1">
            <wp:simplePos x="0" y="0"/>
            <wp:positionH relativeFrom="column">
              <wp:posOffset>462280</wp:posOffset>
            </wp:positionH>
            <wp:positionV relativeFrom="paragraph">
              <wp:posOffset>159385</wp:posOffset>
            </wp:positionV>
            <wp:extent cx="4691380" cy="2405380"/>
            <wp:effectExtent l="0" t="0" r="2540" b="2540"/>
            <wp:wrapTopAndBottom/>
            <wp:docPr id="3" name="图片 3" descr="机播西秀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机播西秀区1"/>
                    <pic:cNvPicPr>
                      <a:picLocks noChangeAspect="1"/>
                    </pic:cNvPicPr>
                  </pic:nvPicPr>
                  <pic:blipFill>
                    <a:blip r:embed="rId5"/>
                    <a:stretch>
                      <a:fillRect/>
                    </a:stretch>
                  </pic:blipFill>
                  <pic:spPr>
                    <a:xfrm>
                      <a:off x="0" y="0"/>
                      <a:ext cx="4691380" cy="2405380"/>
                    </a:xfrm>
                    <a:prstGeom prst="rect">
                      <a:avLst/>
                    </a:prstGeom>
                  </pic:spPr>
                </pic:pic>
              </a:graphicData>
            </a:graphic>
          </wp:anchor>
        </w:drawing>
      </w:r>
      <w:r>
        <w:rPr>
          <w:rFonts w:hint="eastAsia" w:ascii="方正黑体_GBK" w:hAnsi="方正黑体_GBK" w:eastAsia="方正黑体_GBK" w:cs="方正黑体_GBK"/>
          <w:b/>
          <w:bCs w:val="0"/>
          <w:color w:val="000000"/>
          <w:sz w:val="22"/>
          <w:szCs w:val="22"/>
          <w:lang w:val="en-US" w:eastAsia="zh-CN"/>
        </w:rPr>
        <w:t>填装种子及肥料</w:t>
      </w:r>
    </w:p>
    <w:p>
      <w:pPr>
        <w:snapToGrid w:val="0"/>
        <w:spacing w:line="560" w:lineRule="exact"/>
        <w:ind w:firstLine="480" w:firstLineChars="200"/>
        <w:rPr>
          <w:rFonts w:hint="eastAsia" w:asciiTheme="minorEastAsia" w:hAnsiTheme="minorEastAsia" w:cstheme="minorEastAsia"/>
          <w:b w:val="0"/>
          <w:bCs/>
          <w:color w:val="000000"/>
          <w:sz w:val="24"/>
          <w:szCs w:val="24"/>
          <w:lang w:eastAsia="zh-CN"/>
        </w:rPr>
      </w:pPr>
      <w:r>
        <w:rPr>
          <w:rFonts w:hint="eastAsia" w:asciiTheme="minorEastAsia" w:hAnsiTheme="minorEastAsia" w:cstheme="minorEastAsia"/>
          <w:b w:val="0"/>
          <w:bCs/>
          <w:color w:val="000000"/>
          <w:sz w:val="24"/>
          <w:szCs w:val="24"/>
          <w:lang w:eastAsia="zh-CN"/>
        </w:rPr>
        <w:t>（四）机械化播种</w:t>
      </w:r>
    </w:p>
    <w:p>
      <w:pPr>
        <w:snapToGrid w:val="0"/>
        <w:spacing w:line="560" w:lineRule="exact"/>
        <w:ind w:firstLine="480" w:firstLineChars="200"/>
        <w:rPr>
          <w:rFonts w:hint="eastAsia" w:asciiTheme="minorEastAsia" w:hAnsiTheme="minorEastAsia" w:cstheme="minorEastAsia"/>
          <w:b w:val="0"/>
          <w:bCs/>
          <w:color w:val="000000"/>
          <w:sz w:val="24"/>
          <w:szCs w:val="24"/>
          <w:lang w:eastAsia="zh-CN"/>
        </w:rPr>
      </w:pPr>
      <w:r>
        <w:rPr>
          <w:rFonts w:hint="eastAsia" w:asciiTheme="minorEastAsia" w:hAnsiTheme="minorEastAsia" w:cstheme="minorEastAsia"/>
          <w:b w:val="0"/>
          <w:bCs/>
          <w:color w:val="000000"/>
          <w:sz w:val="24"/>
          <w:szCs w:val="24"/>
          <w:lang w:eastAsia="zh-CN"/>
        </w:rPr>
        <w:t>采用湖南株洲农旺牌油菜播种机2BYD-6，播种行数6行，行距250毫米，排水沟宽度240毫米、深度200毫米（可调），根据田块大小调整好油菜播种量和施肥量、田间作业路线以及调整播种深度一次完成灭茬、旋耕、施肥、播种、开沟覆土、除草等工序，机具作业时要保持直线播种，同时检查排种口和排肥孔，避免堵塞或下种、下肥不正常而出现漏播、缺肥现象，播种完成后检查厢沟、腰沟和围沟，做到三沟相通。</w:t>
      </w:r>
    </w:p>
    <w:p>
      <w:pPr>
        <w:snapToGrid w:val="0"/>
        <w:spacing w:line="560" w:lineRule="exact"/>
        <w:ind w:firstLine="480" w:firstLineChars="200"/>
        <w:rPr>
          <w:rFonts w:hint="eastAsia" w:asciiTheme="minorEastAsia" w:hAnsiTheme="minorEastAsia" w:cstheme="minorEastAsia"/>
          <w:b w:val="0"/>
          <w:bCs/>
          <w:color w:val="000000"/>
          <w:sz w:val="24"/>
          <w:szCs w:val="24"/>
          <w:lang w:eastAsia="zh-CN"/>
        </w:rPr>
      </w:pPr>
    </w:p>
    <w:p>
      <w:pPr>
        <w:snapToGrid w:val="0"/>
        <w:spacing w:line="560" w:lineRule="exact"/>
        <w:ind w:firstLine="440" w:firstLineChars="200"/>
        <w:jc w:val="center"/>
        <w:rPr>
          <w:rFonts w:hint="eastAsia" w:ascii="方正黑体_GBK" w:hAnsi="方正黑体_GBK" w:eastAsia="方正黑体_GBK" w:cs="方正黑体_GBK"/>
          <w:b/>
          <w:bCs w:val="0"/>
          <w:color w:val="000000"/>
          <w:sz w:val="22"/>
          <w:szCs w:val="22"/>
          <w:lang w:val="en-US" w:eastAsia="zh-CN"/>
        </w:rPr>
      </w:pPr>
      <w:r>
        <w:rPr>
          <w:rFonts w:hint="default" w:ascii="方正黑体_GBK" w:hAnsi="方正黑体_GBK" w:eastAsia="方正黑体_GBK" w:cs="方正黑体_GBK"/>
          <w:b/>
          <w:bCs w:val="0"/>
          <w:color w:val="000000"/>
          <w:sz w:val="22"/>
          <w:szCs w:val="22"/>
          <w:lang w:val="en-US" w:eastAsia="zh-CN"/>
        </w:rPr>
        <w:drawing>
          <wp:anchor distT="0" distB="0" distL="114300" distR="114300" simplePos="0" relativeHeight="251662336" behindDoc="0" locked="0" layoutInCell="1" allowOverlap="1">
            <wp:simplePos x="0" y="0"/>
            <wp:positionH relativeFrom="column">
              <wp:posOffset>631190</wp:posOffset>
            </wp:positionH>
            <wp:positionV relativeFrom="paragraph">
              <wp:posOffset>76200</wp:posOffset>
            </wp:positionV>
            <wp:extent cx="4065270" cy="2303780"/>
            <wp:effectExtent l="0" t="0" r="3810" b="12700"/>
            <wp:wrapTopAndBottom/>
            <wp:docPr id="4" name="图片 4" descr="DSC0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SC01139"/>
                    <pic:cNvPicPr>
                      <a:picLocks noChangeAspect="1"/>
                    </pic:cNvPicPr>
                  </pic:nvPicPr>
                  <pic:blipFill>
                    <a:blip r:embed="rId6"/>
                    <a:stretch>
                      <a:fillRect/>
                    </a:stretch>
                  </pic:blipFill>
                  <pic:spPr>
                    <a:xfrm>
                      <a:off x="0" y="0"/>
                      <a:ext cx="4065270" cy="2303780"/>
                    </a:xfrm>
                    <a:prstGeom prst="rect">
                      <a:avLst/>
                    </a:prstGeom>
                  </pic:spPr>
                </pic:pic>
              </a:graphicData>
            </a:graphic>
          </wp:anchor>
        </w:drawing>
      </w:r>
      <w:r>
        <w:rPr>
          <w:rFonts w:hint="eastAsia" w:ascii="方正黑体_GBK" w:hAnsi="方正黑体_GBK" w:eastAsia="方正黑体_GBK" w:cs="方正黑体_GBK"/>
          <w:b/>
          <w:bCs w:val="0"/>
          <w:color w:val="000000"/>
          <w:sz w:val="22"/>
          <w:szCs w:val="22"/>
          <w:lang w:val="en-US" w:eastAsia="zh-CN"/>
        </w:rPr>
        <w:t>开沟效果</w:t>
      </w:r>
    </w:p>
    <w:p>
      <w:pPr>
        <w:snapToGrid w:val="0"/>
        <w:spacing w:line="560" w:lineRule="exact"/>
        <w:ind w:firstLine="480" w:firstLineChars="200"/>
        <w:rPr>
          <w:rFonts w:hint="eastAsia" w:asciiTheme="minorEastAsia" w:hAnsiTheme="minorEastAsia" w:cstheme="minorEastAsia"/>
          <w:b w:val="0"/>
          <w:bCs/>
          <w:color w:val="000000"/>
          <w:sz w:val="24"/>
          <w:szCs w:val="24"/>
          <w:lang w:eastAsia="zh-CN"/>
        </w:rPr>
      </w:pPr>
      <w:r>
        <w:rPr>
          <w:rFonts w:hint="eastAsia" w:asciiTheme="minorEastAsia" w:hAnsiTheme="minorEastAsia" w:cstheme="minorEastAsia"/>
          <w:b w:val="0"/>
          <w:bCs/>
          <w:color w:val="000000"/>
          <w:sz w:val="24"/>
          <w:szCs w:val="24"/>
          <w:lang w:eastAsia="zh-CN"/>
        </w:rPr>
        <w:t>（五）芽前封闭除草技术</w:t>
      </w:r>
    </w:p>
    <w:p>
      <w:pPr>
        <w:snapToGrid w:val="0"/>
        <w:spacing w:line="560" w:lineRule="exact"/>
        <w:ind w:firstLine="480" w:firstLineChars="200"/>
        <w:rPr>
          <w:rFonts w:hint="eastAsia" w:asciiTheme="minorEastAsia" w:hAnsiTheme="minorEastAsia" w:cstheme="minorEastAsia"/>
          <w:b w:val="0"/>
          <w:bCs/>
          <w:color w:val="000000"/>
          <w:sz w:val="24"/>
          <w:szCs w:val="24"/>
          <w:lang w:eastAsia="zh-CN"/>
        </w:rPr>
      </w:pPr>
      <w:r>
        <w:rPr>
          <w:rFonts w:hint="eastAsia" w:asciiTheme="minorEastAsia" w:hAnsiTheme="minorEastAsia" w:cstheme="minorEastAsia"/>
          <w:b w:val="0"/>
          <w:bCs/>
          <w:color w:val="000000"/>
          <w:sz w:val="24"/>
          <w:szCs w:val="24"/>
          <w:lang w:eastAsia="zh-CN"/>
        </w:rPr>
        <w:t>采用联合播种机加装农药喷雾装备在油菜播种时同步喷施乙草胺等除草剂，在土壤表面形成一层药膜抑制杂草生长点生长，不影响油菜正常出苗，苗期检查草害情况。</w:t>
      </w:r>
    </w:p>
    <w:p>
      <w:pPr>
        <w:snapToGrid w:val="0"/>
        <w:spacing w:line="560" w:lineRule="exact"/>
        <w:jc w:val="center"/>
        <w:rPr>
          <w:rFonts w:hint="eastAsia" w:ascii="方正黑体_GBK" w:hAnsi="方正黑体_GBK" w:eastAsia="方正黑体_GBK" w:cs="方正黑体_GBK"/>
          <w:b/>
          <w:bCs w:val="0"/>
          <w:color w:val="000000"/>
          <w:sz w:val="22"/>
          <w:szCs w:val="22"/>
          <w:lang w:val="en-US" w:eastAsia="zh-CN"/>
        </w:rPr>
      </w:pPr>
      <w:r>
        <w:rPr>
          <w:rFonts w:hint="eastAsia" w:ascii="方正黑体_GBK" w:hAnsi="方正黑体_GBK" w:eastAsia="方正黑体_GBK" w:cs="方正黑体_GBK"/>
          <w:b/>
          <w:bCs w:val="0"/>
          <w:color w:val="000000"/>
          <w:sz w:val="22"/>
          <w:szCs w:val="22"/>
          <w:lang w:val="en-US" w:eastAsia="zh-CN"/>
        </w:rPr>
        <w:drawing>
          <wp:anchor distT="0" distB="0" distL="114300" distR="114300" simplePos="0" relativeHeight="251663360" behindDoc="0" locked="0" layoutInCell="1" allowOverlap="1">
            <wp:simplePos x="0" y="0"/>
            <wp:positionH relativeFrom="column">
              <wp:posOffset>523240</wp:posOffset>
            </wp:positionH>
            <wp:positionV relativeFrom="paragraph">
              <wp:posOffset>15875</wp:posOffset>
            </wp:positionV>
            <wp:extent cx="4541520" cy="2473325"/>
            <wp:effectExtent l="0" t="0" r="0" b="10795"/>
            <wp:wrapTopAndBottom/>
            <wp:docPr id="9" name="图片 9" descr="DJI_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JI_0100"/>
                    <pic:cNvPicPr>
                      <a:picLocks noChangeAspect="1"/>
                    </pic:cNvPicPr>
                  </pic:nvPicPr>
                  <pic:blipFill>
                    <a:blip r:embed="rId7"/>
                    <a:stretch>
                      <a:fillRect/>
                    </a:stretch>
                  </pic:blipFill>
                  <pic:spPr>
                    <a:xfrm>
                      <a:off x="0" y="0"/>
                      <a:ext cx="4541520" cy="2473325"/>
                    </a:xfrm>
                    <a:prstGeom prst="rect">
                      <a:avLst/>
                    </a:prstGeom>
                  </pic:spPr>
                </pic:pic>
              </a:graphicData>
            </a:graphic>
          </wp:anchor>
        </w:drawing>
      </w:r>
      <w:r>
        <w:rPr>
          <w:rFonts w:hint="eastAsia" w:ascii="方正黑体_GBK" w:hAnsi="方正黑体_GBK" w:eastAsia="方正黑体_GBK" w:cs="方正黑体_GBK"/>
          <w:b/>
          <w:bCs w:val="0"/>
          <w:color w:val="000000"/>
          <w:sz w:val="22"/>
          <w:szCs w:val="22"/>
          <w:lang w:val="en-US" w:eastAsia="zh-CN"/>
        </w:rPr>
        <w:t>苗期表现</w:t>
      </w:r>
    </w:p>
    <w:p>
      <w:pPr>
        <w:snapToGrid w:val="0"/>
        <w:spacing w:line="560" w:lineRule="exact"/>
        <w:ind w:firstLine="480" w:firstLineChars="200"/>
        <w:rPr>
          <w:rFonts w:hint="eastAsia" w:asciiTheme="minorEastAsia" w:hAnsiTheme="minorEastAsia" w:cstheme="minorEastAsia"/>
          <w:b w:val="0"/>
          <w:bCs/>
          <w:color w:val="000000"/>
          <w:sz w:val="24"/>
          <w:szCs w:val="24"/>
          <w:lang w:val="en-US" w:eastAsia="zh-CN"/>
        </w:rPr>
      </w:pPr>
      <w:r>
        <w:rPr>
          <w:rFonts w:hint="eastAsia" w:asciiTheme="minorEastAsia" w:hAnsiTheme="minorEastAsia" w:cstheme="minorEastAsia"/>
          <w:b w:val="0"/>
          <w:bCs/>
          <w:color w:val="000000"/>
          <w:sz w:val="24"/>
          <w:szCs w:val="24"/>
          <w:lang w:val="en-US" w:eastAsia="zh-CN"/>
        </w:rPr>
        <w:t>（六）播后施肥</w:t>
      </w:r>
    </w:p>
    <w:p>
      <w:pPr>
        <w:snapToGrid w:val="0"/>
        <w:spacing w:line="56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提苗肥：出苗后15天左右亩施用10公斤尿素追施用作提苗。</w:t>
      </w:r>
    </w:p>
    <w:p>
      <w:pPr>
        <w:snapToGrid w:val="0"/>
        <w:spacing w:line="56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腊肥：元月上旬，看苗施肥，施用5公斤尿素+15公斤复合肥追施。</w:t>
      </w:r>
    </w:p>
    <w:p>
      <w:pPr>
        <w:snapToGrid w:val="0"/>
        <w:spacing w:line="560" w:lineRule="exact"/>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叶面追肥：初花至盛花期，喷施“一促四防”混配液1次。</w:t>
      </w:r>
    </w:p>
    <w:p>
      <w:pPr>
        <w:snapToGrid w:val="0"/>
        <w:spacing w:line="560" w:lineRule="exact"/>
        <w:ind w:firstLine="480" w:firstLineChars="200"/>
        <w:jc w:val="both"/>
        <w:rPr>
          <w:rFonts w:hint="eastAsia" w:ascii="宋体" w:hAnsi="宋体" w:eastAsia="宋体" w:cs="宋体"/>
          <w:sz w:val="24"/>
          <w:szCs w:val="24"/>
          <w:lang w:val="en-US" w:eastAsia="zh-CN"/>
        </w:rPr>
      </w:pPr>
    </w:p>
    <w:p>
      <w:pPr>
        <w:snapToGrid w:val="0"/>
        <w:spacing w:line="560" w:lineRule="exact"/>
        <w:jc w:val="center"/>
        <w:rPr>
          <w:rFonts w:hint="eastAsia" w:ascii="方正黑体_GBK" w:hAnsi="方正黑体_GBK" w:eastAsia="方正黑体_GBK" w:cs="方正黑体_GBK"/>
          <w:b/>
          <w:bCs w:val="0"/>
          <w:color w:val="000000"/>
          <w:sz w:val="22"/>
          <w:szCs w:val="22"/>
          <w:lang w:val="en-US" w:eastAsia="zh-CN"/>
        </w:rPr>
      </w:pPr>
      <w:r>
        <w:rPr>
          <w:rFonts w:hint="eastAsia" w:ascii="方正黑体_GBK" w:hAnsi="方正黑体_GBK" w:eastAsia="方正黑体_GBK" w:cs="方正黑体_GBK"/>
          <w:b/>
          <w:bCs w:val="0"/>
          <w:color w:val="000000"/>
          <w:sz w:val="22"/>
          <w:szCs w:val="22"/>
          <w:lang w:val="en-US" w:eastAsia="zh-CN"/>
        </w:rPr>
        <w:drawing>
          <wp:anchor distT="0" distB="0" distL="114300" distR="114300" simplePos="0" relativeHeight="251664384" behindDoc="0" locked="0" layoutInCell="1" allowOverlap="1">
            <wp:simplePos x="0" y="0"/>
            <wp:positionH relativeFrom="column">
              <wp:posOffset>528320</wp:posOffset>
            </wp:positionH>
            <wp:positionV relativeFrom="paragraph">
              <wp:posOffset>85725</wp:posOffset>
            </wp:positionV>
            <wp:extent cx="4276090" cy="2661920"/>
            <wp:effectExtent l="0" t="0" r="6350" b="5080"/>
            <wp:wrapTopAndBottom/>
            <wp:docPr id="11" name="图片 11" descr="FullSizeR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ullSizeRender"/>
                    <pic:cNvPicPr>
                      <a:picLocks noChangeAspect="1"/>
                    </pic:cNvPicPr>
                  </pic:nvPicPr>
                  <pic:blipFill>
                    <a:blip r:embed="rId8"/>
                    <a:stretch>
                      <a:fillRect/>
                    </a:stretch>
                  </pic:blipFill>
                  <pic:spPr>
                    <a:xfrm>
                      <a:off x="0" y="0"/>
                      <a:ext cx="4276090" cy="2661920"/>
                    </a:xfrm>
                    <a:prstGeom prst="rect">
                      <a:avLst/>
                    </a:prstGeom>
                  </pic:spPr>
                </pic:pic>
              </a:graphicData>
            </a:graphic>
          </wp:anchor>
        </w:drawing>
      </w:r>
      <w:r>
        <w:rPr>
          <w:rFonts w:hint="eastAsia" w:ascii="方正黑体_GBK" w:hAnsi="方正黑体_GBK" w:eastAsia="方正黑体_GBK" w:cs="方正黑体_GBK"/>
          <w:b/>
          <w:bCs w:val="0"/>
          <w:color w:val="000000"/>
          <w:sz w:val="22"/>
          <w:szCs w:val="22"/>
          <w:lang w:val="en-US" w:eastAsia="zh-CN"/>
        </w:rPr>
        <w:t>无人机“一促四防”</w:t>
      </w:r>
    </w:p>
    <w:p>
      <w:pPr>
        <w:snapToGrid w:val="0"/>
        <w:spacing w:line="560" w:lineRule="exact"/>
        <w:ind w:firstLine="480" w:firstLineChars="200"/>
        <w:rPr>
          <w:rFonts w:hint="eastAsia" w:asciiTheme="minorEastAsia" w:hAnsiTheme="minorEastAsia" w:cstheme="minorEastAsia"/>
          <w:b w:val="0"/>
          <w:bCs/>
          <w:color w:val="000000"/>
          <w:sz w:val="24"/>
          <w:szCs w:val="24"/>
          <w:lang w:val="en-US" w:eastAsia="zh-CN"/>
        </w:rPr>
      </w:pPr>
      <w:r>
        <w:rPr>
          <w:rFonts w:hint="eastAsia" w:asciiTheme="minorEastAsia" w:hAnsiTheme="minorEastAsia" w:cstheme="minorEastAsia"/>
          <w:b w:val="0"/>
          <w:bCs/>
          <w:color w:val="000000"/>
          <w:sz w:val="24"/>
          <w:szCs w:val="24"/>
          <w:lang w:val="en-US" w:eastAsia="zh-CN"/>
        </w:rPr>
        <w:t>（七）机械化收获技术</w:t>
      </w:r>
    </w:p>
    <w:p>
      <w:pPr>
        <w:snapToGrid w:val="0"/>
        <w:spacing w:line="560" w:lineRule="exact"/>
        <w:ind w:firstLine="480" w:firstLineChars="200"/>
        <w:rPr>
          <w:rFonts w:hint="eastAsia" w:asciiTheme="minorEastAsia" w:hAnsiTheme="minorEastAsia" w:cstheme="minorEastAsia"/>
          <w:b w:val="0"/>
          <w:bCs/>
          <w:color w:val="000000"/>
          <w:sz w:val="24"/>
          <w:szCs w:val="24"/>
          <w:lang w:val="en-US" w:eastAsia="zh-CN"/>
        </w:rPr>
      </w:pPr>
      <w:r>
        <w:rPr>
          <w:rFonts w:hint="eastAsia" w:asciiTheme="minorEastAsia" w:hAnsiTheme="minorEastAsia" w:cstheme="minorEastAsia"/>
          <w:b w:val="0"/>
          <w:bCs/>
          <w:color w:val="000000"/>
          <w:sz w:val="24"/>
          <w:szCs w:val="24"/>
          <w:lang w:val="en-US" w:eastAsia="zh-CN"/>
        </w:rPr>
        <w:t>当油菜成熟度达到80%以上，选择晴天或阴天使用割晒机、捡拾脱粒机进行分段收获；也可以采用联合收割机一次性收获，在油菜籽粒变色、变硬后使用催熟剂，喷施后7天左右，当油菜成熟度达到90%以上，选用油菜联合收割机，将割台调高至离地40厘米左右，一次性完成收割。一次性完成收割的油菜含水量较大，应立即摊晒或用烘干设备立即烘干处理，以免霉变和发芽，降低油菜籽品质及产量。</w:t>
      </w:r>
    </w:p>
    <w:p>
      <w:pPr>
        <w:snapToGrid w:val="0"/>
        <w:spacing w:line="560" w:lineRule="exact"/>
        <w:jc w:val="center"/>
        <w:rPr>
          <w:rFonts w:hint="eastAsia" w:ascii="方正黑体_GBK" w:hAnsi="方正黑体_GBK" w:eastAsia="方正黑体_GBK" w:cs="方正黑体_GBK"/>
          <w:b/>
          <w:bCs w:val="0"/>
          <w:color w:val="000000"/>
          <w:sz w:val="22"/>
          <w:szCs w:val="22"/>
          <w:lang w:val="en-US" w:eastAsia="zh-CN"/>
        </w:rPr>
      </w:pPr>
      <w:r>
        <w:rPr>
          <w:rFonts w:hint="eastAsia" w:ascii="方正黑体_GBK" w:hAnsi="方正黑体_GBK" w:eastAsia="方正黑体_GBK" w:cs="方正黑体_GBK"/>
          <w:b/>
          <w:bCs w:val="0"/>
          <w:color w:val="000000"/>
          <w:sz w:val="22"/>
          <w:szCs w:val="22"/>
          <w:lang w:val="en-US" w:eastAsia="zh-CN"/>
        </w:rPr>
        <w:drawing>
          <wp:anchor distT="0" distB="0" distL="114300" distR="114300" simplePos="0" relativeHeight="251661312" behindDoc="0" locked="0" layoutInCell="1" allowOverlap="1">
            <wp:simplePos x="0" y="0"/>
            <wp:positionH relativeFrom="column">
              <wp:posOffset>725170</wp:posOffset>
            </wp:positionH>
            <wp:positionV relativeFrom="paragraph">
              <wp:posOffset>300355</wp:posOffset>
            </wp:positionV>
            <wp:extent cx="4267200" cy="2581910"/>
            <wp:effectExtent l="0" t="0" r="0" b="8890"/>
            <wp:wrapTopAndBottom/>
            <wp:docPr id="8" name="图片 8" descr="图片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21"/>
                    <pic:cNvPicPr>
                      <a:picLocks noChangeAspect="1"/>
                    </pic:cNvPicPr>
                  </pic:nvPicPr>
                  <pic:blipFill>
                    <a:blip r:embed="rId9"/>
                    <a:stretch>
                      <a:fillRect/>
                    </a:stretch>
                  </pic:blipFill>
                  <pic:spPr>
                    <a:xfrm>
                      <a:off x="0" y="0"/>
                      <a:ext cx="4267200" cy="2581910"/>
                    </a:xfrm>
                    <a:prstGeom prst="rect">
                      <a:avLst/>
                    </a:prstGeom>
                  </pic:spPr>
                </pic:pic>
              </a:graphicData>
            </a:graphic>
          </wp:anchor>
        </w:drawing>
      </w:r>
      <w:r>
        <w:rPr>
          <w:rFonts w:hint="eastAsia" w:ascii="方正黑体_GBK" w:hAnsi="方正黑体_GBK" w:eastAsia="方正黑体_GBK" w:cs="方正黑体_GBK"/>
          <w:b/>
          <w:bCs w:val="0"/>
          <w:color w:val="000000"/>
          <w:sz w:val="22"/>
          <w:szCs w:val="22"/>
          <w:lang w:val="en-US" w:eastAsia="zh-CN"/>
        </w:rPr>
        <w:t>一段式收获</w:t>
      </w:r>
    </w:p>
    <w:p>
      <w:pPr>
        <w:snapToGrid w:val="0"/>
        <w:spacing w:line="560" w:lineRule="exact"/>
        <w:ind w:firstLine="640" w:firstLineChars="200"/>
        <w:rPr>
          <w:rFonts w:hint="eastAsia" w:ascii="Times New Roman" w:hAnsi="Times New Roman" w:eastAsia="黑体"/>
          <w:color w:val="000000"/>
          <w:sz w:val="28"/>
          <w:szCs w:val="28"/>
        </w:rPr>
      </w:pPr>
      <w:r>
        <w:rPr>
          <w:rFonts w:ascii="Times New Roman" w:hAnsi="Times New Roman" w:eastAsia="黑体"/>
          <w:color w:val="000000"/>
          <w:sz w:val="32"/>
          <w:szCs w:val="32"/>
        </w:rPr>
        <w:t>三、适宜区域</w:t>
      </w:r>
    </w:p>
    <w:p>
      <w:pPr>
        <w:keepNext w:val="0"/>
        <w:keepLines w:val="0"/>
        <w:pageBreakBefore w:val="0"/>
        <w:widowControl w:val="0"/>
        <w:kinsoku/>
        <w:wordWrap/>
        <w:overflowPunct/>
        <w:topLinePunct w:val="0"/>
        <w:autoSpaceDE/>
        <w:autoSpaceDN/>
        <w:bidi w:val="0"/>
        <w:adjustRightInd/>
        <w:snapToGrid w:val="0"/>
        <w:spacing w:line="560" w:lineRule="exact"/>
        <w:ind w:firstLine="480" w:firstLineChars="200"/>
        <w:textAlignment w:val="auto"/>
        <w:rPr>
          <w:rFonts w:hint="eastAsia" w:asciiTheme="minorEastAsia" w:hAnsiTheme="minorEastAsia" w:cstheme="minorEastAsia"/>
          <w:b w:val="0"/>
          <w:bCs/>
          <w:color w:val="000000"/>
          <w:sz w:val="24"/>
          <w:szCs w:val="24"/>
          <w:lang w:val="en-US" w:eastAsia="zh-CN"/>
        </w:rPr>
      </w:pPr>
      <w:r>
        <w:rPr>
          <w:rFonts w:hint="eastAsia" w:asciiTheme="minorEastAsia" w:hAnsiTheme="minorEastAsia" w:cstheme="minorEastAsia"/>
          <w:b w:val="0"/>
          <w:bCs/>
          <w:color w:val="000000"/>
          <w:sz w:val="24"/>
          <w:szCs w:val="24"/>
          <w:lang w:val="en-US" w:eastAsia="zh-CN"/>
        </w:rPr>
        <w:t>地势较为平坦、适宜机械作业、排灌方便的田地均适用，特别适宜稻油轮作区域使用。</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Times New Roman" w:hAnsi="Times New Roman" w:eastAsia="黑体"/>
          <w:color w:val="000000"/>
          <w:sz w:val="28"/>
          <w:szCs w:val="28"/>
        </w:rPr>
      </w:pPr>
      <w:r>
        <w:rPr>
          <w:rFonts w:ascii="Times New Roman" w:hAnsi="Times New Roman" w:eastAsia="黑体"/>
          <w:color w:val="000000"/>
          <w:sz w:val="32"/>
          <w:szCs w:val="32"/>
        </w:rPr>
        <w:t>四、注意事项</w:t>
      </w:r>
    </w:p>
    <w:p>
      <w:pPr>
        <w:keepNext w:val="0"/>
        <w:keepLines w:val="0"/>
        <w:pageBreakBefore w:val="0"/>
        <w:widowControl w:val="0"/>
        <w:kinsoku/>
        <w:wordWrap/>
        <w:overflowPunct/>
        <w:topLinePunct w:val="0"/>
        <w:autoSpaceDE/>
        <w:autoSpaceDN/>
        <w:bidi w:val="0"/>
        <w:adjustRightInd/>
        <w:snapToGrid w:val="0"/>
        <w:spacing w:line="560" w:lineRule="exact"/>
        <w:ind w:firstLine="480" w:firstLineChars="200"/>
        <w:textAlignment w:val="auto"/>
        <w:rPr>
          <w:rFonts w:hint="eastAsia" w:asciiTheme="minorEastAsia" w:hAnsiTheme="minorEastAsia" w:cstheme="minorEastAsia"/>
          <w:b w:val="0"/>
          <w:bCs/>
          <w:color w:val="000000"/>
          <w:sz w:val="24"/>
          <w:szCs w:val="24"/>
          <w:lang w:val="en-US" w:eastAsia="zh-CN"/>
        </w:rPr>
      </w:pPr>
      <w:r>
        <w:rPr>
          <w:rFonts w:hint="eastAsia" w:asciiTheme="minorEastAsia" w:hAnsiTheme="minorEastAsia" w:cstheme="minorEastAsia"/>
          <w:b w:val="0"/>
          <w:bCs/>
          <w:color w:val="000000"/>
          <w:sz w:val="24"/>
          <w:szCs w:val="24"/>
          <w:lang w:val="en-US" w:eastAsia="zh-CN"/>
        </w:rPr>
        <w:t>（一）需选择地面较平展且宽阔，便于农业机械通行和作业，排水方便，土壤粘性较轻的田块，播种前一个多月就要根据土壤质地情况合理排水晒田。</w:t>
      </w:r>
    </w:p>
    <w:p>
      <w:pPr>
        <w:keepNext w:val="0"/>
        <w:keepLines w:val="0"/>
        <w:pageBreakBefore w:val="0"/>
        <w:widowControl w:val="0"/>
        <w:kinsoku/>
        <w:wordWrap/>
        <w:overflowPunct/>
        <w:topLinePunct w:val="0"/>
        <w:autoSpaceDE/>
        <w:autoSpaceDN/>
        <w:bidi w:val="0"/>
        <w:adjustRightInd/>
        <w:snapToGrid w:val="0"/>
        <w:spacing w:line="560" w:lineRule="exact"/>
        <w:ind w:firstLine="480" w:firstLineChars="200"/>
        <w:textAlignment w:val="auto"/>
        <w:rPr>
          <w:rFonts w:hint="eastAsia" w:asciiTheme="minorEastAsia" w:hAnsiTheme="minorEastAsia" w:cstheme="minorEastAsia"/>
          <w:b w:val="0"/>
          <w:bCs/>
          <w:color w:val="000000"/>
          <w:sz w:val="24"/>
          <w:szCs w:val="24"/>
          <w:lang w:val="en-US" w:eastAsia="zh-CN"/>
        </w:rPr>
      </w:pPr>
      <w:r>
        <w:rPr>
          <w:rFonts w:hint="eastAsia" w:asciiTheme="minorEastAsia" w:hAnsiTheme="minorEastAsia" w:cstheme="minorEastAsia"/>
          <w:b w:val="0"/>
          <w:bCs/>
          <w:color w:val="000000"/>
          <w:sz w:val="24"/>
          <w:szCs w:val="24"/>
          <w:lang w:val="en-US" w:eastAsia="zh-CN"/>
        </w:rPr>
        <w:t>（二）</w:t>
      </w:r>
      <w:r>
        <w:rPr>
          <w:rFonts w:hint="eastAsia" w:asciiTheme="minorEastAsia" w:hAnsiTheme="minorEastAsia" w:cstheme="minorEastAsia"/>
          <w:b w:val="0"/>
          <w:bCs/>
          <w:color w:val="000000"/>
          <w:sz w:val="24"/>
          <w:szCs w:val="24"/>
          <w:lang w:val="en-US" w:eastAsia="zh-CN"/>
        </w:rPr>
        <w:tab/>
      </w:r>
      <w:r>
        <w:rPr>
          <w:rFonts w:hint="eastAsia" w:asciiTheme="minorEastAsia" w:hAnsiTheme="minorEastAsia" w:cstheme="minorEastAsia"/>
          <w:b w:val="0"/>
          <w:bCs/>
          <w:color w:val="000000"/>
          <w:sz w:val="24"/>
          <w:szCs w:val="24"/>
          <w:lang w:val="en-US" w:eastAsia="zh-CN"/>
        </w:rPr>
        <w:t>应首先在龙头企业和农机专业合作社这两类主体上进行推广应用。主要考虑的因素：一是购机成本，油菜联合直播机价格需2-5万，还需配套拖拉机进行使用，一般农户难以购买；二是机械使用率，企业、合作社的土地规模大，机械闲置率较低，同时规模化生产也能降低使用成本；三是技术到位率，油菜直播机械的使用效率，机手的影响较大，企业、合作社有条件提供培训渠道。</w:t>
      </w:r>
    </w:p>
    <w:p>
      <w:pPr>
        <w:keepNext w:val="0"/>
        <w:keepLines w:val="0"/>
        <w:pageBreakBefore w:val="0"/>
        <w:widowControl w:val="0"/>
        <w:kinsoku/>
        <w:wordWrap/>
        <w:overflowPunct/>
        <w:topLinePunct w:val="0"/>
        <w:autoSpaceDE/>
        <w:autoSpaceDN/>
        <w:bidi w:val="0"/>
        <w:adjustRightInd/>
        <w:snapToGrid w:val="0"/>
        <w:spacing w:line="560" w:lineRule="exact"/>
        <w:ind w:firstLine="480" w:firstLineChars="200"/>
        <w:textAlignment w:val="auto"/>
        <w:rPr>
          <w:rFonts w:hint="default" w:asciiTheme="minorEastAsia" w:hAnsiTheme="minorEastAsia" w:cstheme="minorEastAsia"/>
          <w:b w:val="0"/>
          <w:bCs/>
          <w:color w:val="000000"/>
          <w:sz w:val="24"/>
          <w:szCs w:val="24"/>
          <w:lang w:val="en-US" w:eastAsia="zh-CN"/>
        </w:rPr>
      </w:pPr>
      <w:r>
        <w:rPr>
          <w:rFonts w:hint="eastAsia" w:asciiTheme="minorEastAsia" w:hAnsiTheme="minorEastAsia" w:cstheme="minorEastAsia"/>
          <w:b w:val="0"/>
          <w:bCs/>
          <w:color w:val="000000"/>
          <w:sz w:val="24"/>
          <w:szCs w:val="24"/>
          <w:lang w:val="en-US" w:eastAsia="zh-CN"/>
        </w:rPr>
        <w:t>（三）品种选择非常重要，应选择选择耐密植、抗裂角、生育期适中、成熟期一致、抗倒伏、抗菌核病的高产高油品种。</w:t>
      </w:r>
    </w:p>
    <w:p>
      <w:pPr>
        <w:snapToGrid w:val="0"/>
        <w:spacing w:line="560" w:lineRule="exact"/>
        <w:ind w:firstLine="640" w:firstLineChars="200"/>
        <w:rPr>
          <w:rFonts w:ascii="Times New Roman" w:hAnsi="Times New Roman" w:eastAsia="黑体"/>
          <w:color w:val="000000"/>
          <w:sz w:val="28"/>
          <w:szCs w:val="28"/>
        </w:rPr>
      </w:pPr>
      <w:r>
        <w:rPr>
          <w:rFonts w:ascii="Times New Roman" w:hAnsi="Times New Roman" w:eastAsia="黑体"/>
          <w:color w:val="000000"/>
          <w:sz w:val="32"/>
          <w:szCs w:val="32"/>
        </w:rPr>
        <w:t>五、技术依托单位</w:t>
      </w:r>
    </w:p>
    <w:p>
      <w:pPr>
        <w:snapToGrid w:val="0"/>
        <w:spacing w:line="560" w:lineRule="exact"/>
        <w:ind w:firstLine="480" w:firstLineChars="200"/>
        <w:rPr>
          <w:rFonts w:hint="eastAsia" w:asciiTheme="minorEastAsia" w:hAnsiTheme="minorEastAsia" w:cstheme="minorEastAsia"/>
          <w:b w:val="0"/>
          <w:bCs/>
          <w:color w:val="000000"/>
          <w:sz w:val="24"/>
          <w:szCs w:val="24"/>
          <w:lang w:val="en-US" w:eastAsia="zh-CN"/>
        </w:rPr>
      </w:pPr>
      <w:r>
        <w:rPr>
          <w:rFonts w:hint="eastAsia" w:asciiTheme="minorEastAsia" w:hAnsiTheme="minorEastAsia" w:cstheme="minorEastAsia"/>
          <w:b w:val="0"/>
          <w:bCs/>
          <w:color w:val="000000"/>
          <w:sz w:val="24"/>
          <w:szCs w:val="24"/>
          <w:lang w:val="en-US" w:eastAsia="zh-CN"/>
        </w:rPr>
        <w:t>贵州省油菜研究所，贵州省贵阳市观山湖区都匀路，邮编：550008，程尚明，13985587909，caifudu@yahoo.com.cn。</w:t>
      </w:r>
    </w:p>
    <w:p>
      <w:pPr>
        <w:spacing w:line="400" w:lineRule="exact"/>
        <w:rPr>
          <w:rFonts w:ascii="仿宋" w:hAnsi="仿宋" w:eastAsia="仿宋" w:cs="仿宋"/>
          <w:sz w:val="24"/>
          <w:szCs w:val="24"/>
        </w:rPr>
      </w:pPr>
      <w:r>
        <w:rPr>
          <w:rFonts w:hint="eastAsia" w:asciiTheme="minorEastAsia" w:hAnsiTheme="minorEastAsia" w:cstheme="minorEastAsia"/>
          <w:b w:val="0"/>
          <w:bCs/>
          <w:color w:val="000000"/>
          <w:sz w:val="24"/>
          <w:szCs w:val="24"/>
          <w:lang w:val="en-US" w:eastAsia="zh-CN"/>
        </w:rPr>
        <w:t>贵州禾睦福种子有限公司，贵州省贵阳市观山湖区都匀路，邮编：550008，程尚明，13985587909，442389739@qq.com。</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方正黑体_GBK">
    <w:altName w:val="微软雅黑"/>
    <w:panose1 w:val="02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
                          </w:sdtPr>
                          <w:sdtContent>
                            <w:p>
                              <w:pPr>
                                <w:pStyle w:val="6"/>
                                <w:jc w:val="center"/>
                              </w:pPr>
                              <w:r>
                                <w:fldChar w:fldCharType="begin"/>
                              </w:r>
                              <w:r>
                                <w:instrText xml:space="preserve">PAGE   \* MERGEFORMAT</w:instrText>
                              </w:r>
                              <w:r>
                                <w:fldChar w:fldCharType="separate"/>
                              </w:r>
                              <w:r>
                                <w:rPr>
                                  <w:lang w:val="zh-CN"/>
                                </w:rPr>
                                <w:t>6</w:t>
                              </w:r>
                              <w:r>
                                <w:fldChar w:fldCharType="end"/>
                              </w:r>
                            </w:p>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sdt>
                    <w:sdtPr>
                      <w:id w:val="-1"/>
                    </w:sdtPr>
                    <w:sdtContent>
                      <w:p>
                        <w:pPr>
                          <w:pStyle w:val="6"/>
                          <w:jc w:val="center"/>
                        </w:pPr>
                        <w:r>
                          <w:fldChar w:fldCharType="begin"/>
                        </w:r>
                        <w:r>
                          <w:instrText xml:space="preserve">PAGE   \* MERGEFORMAT</w:instrText>
                        </w:r>
                        <w:r>
                          <w:fldChar w:fldCharType="separate"/>
                        </w:r>
                        <w:r>
                          <w:rPr>
                            <w:lang w:val="zh-CN"/>
                          </w:rPr>
                          <w:t>6</w:t>
                        </w:r>
                        <w:r>
                          <w:fldChar w:fldCharType="end"/>
                        </w:r>
                      </w:p>
                    </w:sdtContent>
                  </w:sdt>
                  <w:p/>
                </w:txbxContent>
              </v:textbox>
            </v:shape>
          </w:pict>
        </mc:Fallback>
      </mc:AlternateContent>
    </w:r>
  </w:p>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wNDRiMDk3MmE1Yzc1MjFiNGZhZTEwZDIxYWYxZmQifQ=="/>
  </w:docVars>
  <w:rsids>
    <w:rsidRoot w:val="00F000FB"/>
    <w:rsid w:val="000152A2"/>
    <w:rsid w:val="00070FF3"/>
    <w:rsid w:val="000A4EA3"/>
    <w:rsid w:val="000D340B"/>
    <w:rsid w:val="000E35B8"/>
    <w:rsid w:val="00112460"/>
    <w:rsid w:val="00136F23"/>
    <w:rsid w:val="001B011C"/>
    <w:rsid w:val="001F0A32"/>
    <w:rsid w:val="001F2B7B"/>
    <w:rsid w:val="00207989"/>
    <w:rsid w:val="002141C7"/>
    <w:rsid w:val="00220C44"/>
    <w:rsid w:val="002D7CB5"/>
    <w:rsid w:val="0033570F"/>
    <w:rsid w:val="00362327"/>
    <w:rsid w:val="003760E0"/>
    <w:rsid w:val="00442E98"/>
    <w:rsid w:val="0045250C"/>
    <w:rsid w:val="00464A13"/>
    <w:rsid w:val="004B7676"/>
    <w:rsid w:val="005509C6"/>
    <w:rsid w:val="00567724"/>
    <w:rsid w:val="00573D17"/>
    <w:rsid w:val="00582FC1"/>
    <w:rsid w:val="005A07F2"/>
    <w:rsid w:val="005B3055"/>
    <w:rsid w:val="006079FE"/>
    <w:rsid w:val="006C139E"/>
    <w:rsid w:val="0071270B"/>
    <w:rsid w:val="007E6FB2"/>
    <w:rsid w:val="00910EC2"/>
    <w:rsid w:val="00922D45"/>
    <w:rsid w:val="009449C4"/>
    <w:rsid w:val="00996592"/>
    <w:rsid w:val="009D3A8C"/>
    <w:rsid w:val="00A12A53"/>
    <w:rsid w:val="00A33CFA"/>
    <w:rsid w:val="00AA5EC1"/>
    <w:rsid w:val="00AA66BC"/>
    <w:rsid w:val="00AC672E"/>
    <w:rsid w:val="00AD42DF"/>
    <w:rsid w:val="00AE1525"/>
    <w:rsid w:val="00B50B29"/>
    <w:rsid w:val="00B73727"/>
    <w:rsid w:val="00B74984"/>
    <w:rsid w:val="00BD486B"/>
    <w:rsid w:val="00BD6689"/>
    <w:rsid w:val="00BE0D94"/>
    <w:rsid w:val="00C31EF1"/>
    <w:rsid w:val="00CD7F32"/>
    <w:rsid w:val="00D1623F"/>
    <w:rsid w:val="00DA357E"/>
    <w:rsid w:val="00DD0163"/>
    <w:rsid w:val="00DD563C"/>
    <w:rsid w:val="00DE10D7"/>
    <w:rsid w:val="00E54DCF"/>
    <w:rsid w:val="00E6009D"/>
    <w:rsid w:val="00E77AFD"/>
    <w:rsid w:val="00EF27A7"/>
    <w:rsid w:val="00F000FB"/>
    <w:rsid w:val="00F21329"/>
    <w:rsid w:val="0A426D43"/>
    <w:rsid w:val="0D3B2E92"/>
    <w:rsid w:val="12A6213E"/>
    <w:rsid w:val="15F35395"/>
    <w:rsid w:val="1B1F09DB"/>
    <w:rsid w:val="1F933745"/>
    <w:rsid w:val="2AFE23BA"/>
    <w:rsid w:val="2F77F121"/>
    <w:rsid w:val="308C2216"/>
    <w:rsid w:val="35FE547F"/>
    <w:rsid w:val="3D2856E0"/>
    <w:rsid w:val="3DDF0755"/>
    <w:rsid w:val="3F126725"/>
    <w:rsid w:val="4BCD3238"/>
    <w:rsid w:val="4D6C7200"/>
    <w:rsid w:val="53A65DA7"/>
    <w:rsid w:val="570D3802"/>
    <w:rsid w:val="5AF20343"/>
    <w:rsid w:val="6069027D"/>
    <w:rsid w:val="622A170C"/>
    <w:rsid w:val="6DBFCAE3"/>
    <w:rsid w:val="6FDBD5B8"/>
    <w:rsid w:val="72C018FB"/>
    <w:rsid w:val="79357E6C"/>
    <w:rsid w:val="7B905FDA"/>
    <w:rsid w:val="7C7E39B3"/>
    <w:rsid w:val="7D0F00A1"/>
    <w:rsid w:val="7D7D8D0D"/>
    <w:rsid w:val="7DF12C86"/>
    <w:rsid w:val="7EDB768C"/>
    <w:rsid w:val="935E9E21"/>
    <w:rsid w:val="BFEBC8B7"/>
    <w:rsid w:val="D3F7AC5A"/>
    <w:rsid w:val="E7EF2803"/>
    <w:rsid w:val="FFB28B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正文-公1"/>
    <w:basedOn w:val="3"/>
    <w:next w:val="4"/>
    <w:qFormat/>
    <w:uiPriority w:val="0"/>
    <w:pPr>
      <w:ind w:firstLine="200" w:firstLineChars="200"/>
    </w:pPr>
    <w:rPr>
      <w:color w:val="000000"/>
    </w:rPr>
  </w:style>
  <w:style w:type="paragraph" w:customStyle="1" w:styleId="3">
    <w:name w:val="正文 New"/>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Balloon Text"/>
    <w:basedOn w:val="1"/>
    <w:link w:val="14"/>
    <w:semiHidden/>
    <w:unhideWhenUsed/>
    <w:qFormat/>
    <w:uiPriority w:val="99"/>
    <w:rPr>
      <w:sz w:val="18"/>
      <w:szCs w:val="18"/>
    </w:rPr>
  </w:style>
  <w:style w:type="paragraph" w:styleId="6">
    <w:name w:val="footer"/>
    <w:basedOn w:val="1"/>
    <w:link w:val="12"/>
    <w:unhideWhenUsed/>
    <w:qFormat/>
    <w:uiPriority w:val="99"/>
    <w:pPr>
      <w:tabs>
        <w:tab w:val="center" w:pos="4153"/>
        <w:tab w:val="right" w:pos="8306"/>
      </w:tabs>
      <w:snapToGrid w:val="0"/>
      <w:jc w:val="left"/>
    </w:pPr>
    <w:rPr>
      <w:sz w:val="18"/>
      <w:szCs w:val="18"/>
    </w:rPr>
  </w:style>
  <w:style w:type="paragraph" w:styleId="7">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10">
    <w:name w:val="Emphasis"/>
    <w:basedOn w:val="9"/>
    <w:qFormat/>
    <w:uiPriority w:val="20"/>
    <w:rPr>
      <w:i/>
    </w:rPr>
  </w:style>
  <w:style w:type="character" w:customStyle="1" w:styleId="11">
    <w:name w:val="页眉 Char"/>
    <w:basedOn w:val="9"/>
    <w:link w:val="4"/>
    <w:qFormat/>
    <w:uiPriority w:val="99"/>
    <w:rPr>
      <w:sz w:val="18"/>
      <w:szCs w:val="18"/>
    </w:rPr>
  </w:style>
  <w:style w:type="character" w:customStyle="1" w:styleId="12">
    <w:name w:val="页脚 Char"/>
    <w:basedOn w:val="9"/>
    <w:link w:val="6"/>
    <w:qFormat/>
    <w:uiPriority w:val="99"/>
    <w:rPr>
      <w:sz w:val="18"/>
      <w:szCs w:val="18"/>
    </w:rPr>
  </w:style>
  <w:style w:type="paragraph" w:customStyle="1" w:styleId="13">
    <w:name w:val="列表段落1"/>
    <w:basedOn w:val="1"/>
    <w:qFormat/>
    <w:uiPriority w:val="0"/>
    <w:pPr>
      <w:ind w:firstLine="420" w:firstLineChars="200"/>
    </w:pPr>
    <w:rPr>
      <w:rFonts w:ascii="Times New Roman" w:hAnsi="Times New Roman" w:eastAsia="宋体" w:cs="Times New Roman"/>
      <w:szCs w:val="24"/>
    </w:rPr>
  </w:style>
  <w:style w:type="character" w:customStyle="1" w:styleId="14">
    <w:name w:val="批注框文本 Char"/>
    <w:basedOn w:val="9"/>
    <w:link w:val="5"/>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2633</Words>
  <Characters>2822</Characters>
  <Lines>16</Lines>
  <Paragraphs>4</Paragraphs>
  <TotalTime>0</TotalTime>
  <ScaleCrop>false</ScaleCrop>
  <LinksUpToDate>false</LinksUpToDate>
  <CharactersWithSpaces>2824</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2023-01-12T02:14:00Z</dcterms:created>
  <dc:creator>Rpc-hyn</dc:creator>
  <cp:lastModifiedBy>Administrator</cp:lastModifiedBy>
  <cp:lastPrinted>2023-02-01T17:44:00Z</cp:lastPrinted>
  <dcterms:modified xsi:type="dcterms:W3CDTF">2023-02-28T02:10:56Z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500DE59FFC48494B822B85343FA83F77</vt:lpwstr>
  </property>
</Properties>
</file>