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djustRightInd w:val="0"/>
        <w:snapToGrid w:val="0"/>
        <w:spacing w:beforeLines="0" w:afterLines="0" w:line="600" w:lineRule="exact"/>
        <w:rPr>
          <w:rFonts w:ascii="Times New Roman" w:hAnsi="Times New Roman" w:eastAsia="华文中宋"/>
          <w:b/>
          <w:bCs w:val="0"/>
          <w:sz w:val="36"/>
          <w:szCs w:val="36"/>
        </w:rPr>
      </w:pPr>
      <w:bookmarkStart w:id="0" w:name="_GoBack"/>
      <w:r>
        <w:rPr>
          <w:rFonts w:hint="eastAsia" w:ascii="Times New Roman" w:hAnsi="Times New Roman" w:eastAsia="华文中宋"/>
          <w:b/>
          <w:bCs w:val="0"/>
          <w:sz w:val="36"/>
          <w:szCs w:val="36"/>
        </w:rPr>
        <w:t>水稻富硒</w:t>
      </w:r>
      <w:r>
        <w:rPr>
          <w:rFonts w:hint="eastAsia" w:ascii="Times New Roman" w:hAnsi="Times New Roman" w:eastAsia="华文中宋"/>
          <w:b/>
          <w:bCs w:val="0"/>
          <w:sz w:val="36"/>
          <w:szCs w:val="36"/>
          <w:lang w:val="en-US" w:eastAsia="zh-CN"/>
        </w:rPr>
        <w:t>生物</w:t>
      </w:r>
      <w:r>
        <w:rPr>
          <w:rFonts w:hint="eastAsia" w:ascii="Times New Roman" w:hAnsi="Times New Roman" w:eastAsia="华文中宋"/>
          <w:b/>
          <w:bCs w:val="0"/>
          <w:sz w:val="36"/>
          <w:szCs w:val="36"/>
        </w:rPr>
        <w:t>营养强化提质增效</w:t>
      </w:r>
      <w:r>
        <w:rPr>
          <w:rFonts w:ascii="Times New Roman" w:hAnsi="Times New Roman" w:eastAsia="华文中宋"/>
          <w:b/>
          <w:bCs w:val="0"/>
          <w:sz w:val="36"/>
          <w:szCs w:val="36"/>
        </w:rPr>
        <w:t>技术</w:t>
      </w:r>
      <w:bookmarkEnd w:id="0"/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一、技术概述</w:t>
      </w:r>
    </w:p>
    <w:p>
      <w:pPr>
        <w:snapToGrid w:val="0"/>
        <w:spacing w:line="560" w:lineRule="exact"/>
        <w:ind w:firstLine="642" w:firstLineChars="200"/>
        <w:rPr>
          <w:rFonts w:ascii="Times New Roman" w:hAnsi="Times New Roman" w:eastAsia="仿宋_GB2312"/>
          <w:b/>
          <w:color w:val="000000"/>
          <w:sz w:val="36"/>
          <w:szCs w:val="36"/>
        </w:rPr>
      </w:pPr>
      <w:r>
        <w:rPr>
          <w:rFonts w:ascii="Times New Roman" w:hAnsi="Times New Roman" w:eastAsia="楷体"/>
          <w:b/>
          <w:sz w:val="32"/>
          <w:szCs w:val="32"/>
        </w:rPr>
        <w:t>（一）技术基本情况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大米是我国大部分人口的主食，其含硒量的高低与人体硒营养状况密切相关，中国大部分行政区属于缺硒的地区，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导致我国大部分水稻中的硒含量、以及大部分地区的人均硒摄入量均不及预期。因此，应用</w:t>
      </w:r>
      <w:r>
        <w:rPr>
          <w:rFonts w:hint="eastAsia" w:ascii="仿宋" w:hAnsi="仿宋" w:eastAsia="仿宋"/>
          <w:sz w:val="32"/>
          <w:szCs w:val="32"/>
        </w:rPr>
        <w:t>水稻富硒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生物</w:t>
      </w:r>
      <w:r>
        <w:rPr>
          <w:rFonts w:hint="eastAsia" w:ascii="仿宋" w:hAnsi="仿宋" w:eastAsia="仿宋"/>
          <w:sz w:val="32"/>
          <w:szCs w:val="32"/>
        </w:rPr>
        <w:t>营养强化提质增效技术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在水稻种植过程中实现富硒标准化提升，对实现水稻的差异化和提升</w:t>
      </w:r>
      <w:r>
        <w:rPr>
          <w:rFonts w:hint="eastAsia" w:ascii="仿宋" w:hAnsi="仿宋" w:eastAsia="仿宋"/>
          <w:sz w:val="32"/>
          <w:szCs w:val="32"/>
        </w:rPr>
        <w:t>人体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硒营养摄入水平</w:t>
      </w:r>
      <w:r>
        <w:rPr>
          <w:rFonts w:hint="eastAsia" w:ascii="仿宋" w:hAnsi="仿宋" w:eastAsia="仿宋"/>
          <w:sz w:val="32"/>
          <w:szCs w:val="32"/>
        </w:rPr>
        <w:t>具有重要意义。本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技术拟实现培育</w:t>
      </w:r>
      <w:r>
        <w:rPr>
          <w:rFonts w:hint="eastAsia" w:ascii="仿宋" w:hAnsi="仿宋" w:eastAsia="仿宋"/>
          <w:sz w:val="32"/>
          <w:szCs w:val="32"/>
        </w:rPr>
        <w:t>硒含量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高于</w:t>
      </w:r>
      <w:r>
        <w:rPr>
          <w:rFonts w:hint="eastAsia" w:ascii="仿宋" w:hAnsi="仿宋" w:eastAsia="仿宋"/>
          <w:sz w:val="32"/>
          <w:szCs w:val="32"/>
        </w:rPr>
        <w:t>0.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</w:rPr>
        <w:t xml:space="preserve"> mg/kg的富硒大米，是普通大米硒含量的2倍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以上</w:t>
      </w:r>
      <w:r>
        <w:rPr>
          <w:rFonts w:hint="eastAsia" w:ascii="仿宋" w:hAnsi="仿宋" w:eastAsia="仿宋"/>
          <w:sz w:val="32"/>
          <w:szCs w:val="32"/>
        </w:rPr>
        <w:t>，满足了人们日常膳食补硒的需求。同时，实施以健康营养、安全为基础，以富硒为重点的特色农产品产业化推广研究，推进农业标准化生产管理进程、促进农业现代化建设，在保障农产品质量安全的同时,通过富硒化提高水稻的经济价值,增加农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和农业生产企业</w:t>
      </w:r>
      <w:r>
        <w:rPr>
          <w:rFonts w:hint="eastAsia" w:ascii="仿宋" w:hAnsi="仿宋" w:eastAsia="仿宋"/>
          <w:sz w:val="32"/>
          <w:szCs w:val="32"/>
        </w:rPr>
        <w:t>的收益。</w:t>
      </w:r>
    </w:p>
    <w:p>
      <w:pPr>
        <w:snapToGrid w:val="0"/>
        <w:spacing w:line="600" w:lineRule="exact"/>
        <w:ind w:firstLine="640"/>
        <w:rPr>
          <w:rFonts w:ascii="Times New Roman" w:hAnsi="Times New Roman" w:eastAsia="楷体"/>
          <w:b/>
          <w:sz w:val="32"/>
          <w:szCs w:val="32"/>
        </w:rPr>
      </w:pPr>
      <w:r>
        <w:rPr>
          <w:rFonts w:ascii="Times New Roman" w:hAnsi="Times New Roman" w:eastAsia="楷体"/>
          <w:b/>
          <w:sz w:val="32"/>
          <w:szCs w:val="32"/>
        </w:rPr>
        <w:t>（二）技术示范推广情况</w:t>
      </w:r>
    </w:p>
    <w:p>
      <w:pPr>
        <w:spacing w:line="60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/>
          <w:sz w:val="32"/>
          <w:szCs w:val="32"/>
        </w:rPr>
        <w:t>富硒生物营养强化技术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作为功能农业技术的重要支撑，</w:t>
      </w:r>
      <w:r>
        <w:rPr>
          <w:rFonts w:ascii="仿宋" w:hAnsi="仿宋" w:eastAsia="仿宋"/>
          <w:sz w:val="32"/>
          <w:szCs w:val="32"/>
        </w:rPr>
        <w:t>自20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08</w:t>
      </w:r>
      <w:r>
        <w:rPr>
          <w:rFonts w:ascii="仿宋" w:hAnsi="仿宋" w:eastAsia="仿宋"/>
          <w:sz w:val="32"/>
          <w:szCs w:val="32"/>
        </w:rPr>
        <w:t>年以来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在全国各个农业主产区均进行了一定规模的示范和推广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通过富硒</w:t>
      </w:r>
      <w:r>
        <w:rPr>
          <w:rFonts w:hint="eastAsia" w:ascii="仿宋" w:hAnsi="仿宋" w:eastAsia="仿宋"/>
          <w:sz w:val="32"/>
          <w:szCs w:val="32"/>
        </w:rPr>
        <w:t>生物营养强化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所生产的富硒水稻，一方面增加了水稻的营养价值，另一方面实现了水稻差异化，助力农民和农业企业增加效益</w:t>
      </w:r>
      <w:r>
        <w:rPr>
          <w:rFonts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如</w:t>
      </w:r>
      <w:r>
        <w:rPr>
          <w:rFonts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2-2023年，上市企业苏垦农发连续10年在其淮海农场、宝应湖农场、白马湖农场建立了万亩富硒水稻示范基地，利用所种植的富硒水稻加工的富硒大米作为其高端大米产品，售价从普通大米3-4元/斤，增加至6-10元/斤。从2012年开始，安徽省最大的国有农场白湖农场开始打造“万亩富硒水稻示范基地”，经过几年的耕耘，在中国十一届优质稻米博览交易会上，“白湖牌富硒香软米”从全国66家申报稻米品种中脱颖而出，成功摘得金奖大米奖项。</w:t>
      </w:r>
    </w:p>
    <w:p>
      <w:pPr>
        <w:snapToGrid w:val="0"/>
        <w:spacing w:line="600" w:lineRule="exact"/>
        <w:ind w:firstLine="640"/>
        <w:rPr>
          <w:rFonts w:ascii="Times New Roman" w:hAnsi="Times New Roman" w:eastAsia="楷体"/>
          <w:b/>
          <w:sz w:val="32"/>
          <w:szCs w:val="32"/>
        </w:rPr>
      </w:pPr>
      <w:r>
        <w:rPr>
          <w:rFonts w:ascii="Times New Roman" w:hAnsi="Times New Roman" w:eastAsia="楷体"/>
          <w:b/>
          <w:sz w:val="32"/>
          <w:szCs w:val="32"/>
        </w:rPr>
        <w:t>（三）提质增效情况</w:t>
      </w:r>
    </w:p>
    <w:p>
      <w:pPr>
        <w:spacing w:line="60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根据相关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示范推广情况，与</w:t>
      </w:r>
      <w:r>
        <w:rPr>
          <w:rFonts w:ascii="仿宋" w:hAnsi="仿宋" w:eastAsia="仿宋"/>
          <w:sz w:val="32"/>
          <w:szCs w:val="32"/>
        </w:rPr>
        <w:t>常规技术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种植普通水稻</w:t>
      </w:r>
      <w:r>
        <w:rPr>
          <w:rFonts w:ascii="仿宋" w:hAnsi="仿宋" w:eastAsia="仿宋"/>
          <w:sz w:val="32"/>
          <w:szCs w:val="32"/>
        </w:rPr>
        <w:t>相比，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水稻富硒生物营养强化</w:t>
      </w:r>
      <w:r>
        <w:rPr>
          <w:rFonts w:ascii="仿宋" w:hAnsi="仿宋" w:eastAsia="仿宋"/>
          <w:sz w:val="32"/>
          <w:szCs w:val="32"/>
        </w:rPr>
        <w:t>技术可</w:t>
      </w:r>
      <w:r>
        <w:rPr>
          <w:rFonts w:hint="eastAsia" w:ascii="仿宋" w:hAnsi="仿宋" w:eastAsia="仿宋"/>
          <w:sz w:val="32"/>
          <w:szCs w:val="32"/>
        </w:rPr>
        <w:t>实现水稻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硒含量增加50 </w:t>
      </w:r>
      <w:r>
        <w:rPr>
          <w:rFonts w:ascii="仿宋" w:hAnsi="仿宋" w:eastAsia="仿宋"/>
          <w:sz w:val="32"/>
          <w:szCs w:val="32"/>
        </w:rPr>
        <w:t>%以上，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达到国家相关富硒标准要求（最终大米硒含量≥0.15 mg/kg）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每亩水稻综合种植效益增加3</w:t>
      </w:r>
      <w:r>
        <w:rPr>
          <w:rFonts w:ascii="仿宋" w:hAnsi="仿宋" w:eastAsia="仿宋"/>
          <w:sz w:val="32"/>
          <w:szCs w:val="32"/>
        </w:rPr>
        <w:t>00元以上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napToGrid w:val="0"/>
        <w:spacing w:line="600" w:lineRule="exact"/>
        <w:ind w:firstLine="642" w:firstLineChars="200"/>
        <w:rPr>
          <w:rFonts w:ascii="Times New Roman" w:hAnsi="Times New Roman" w:eastAsia="楷体_GB2312"/>
          <w:b/>
          <w:i/>
          <w:color w:val="000000"/>
          <w:sz w:val="28"/>
          <w:szCs w:val="28"/>
        </w:rPr>
      </w:pPr>
      <w:r>
        <w:rPr>
          <w:rFonts w:ascii="Times New Roman" w:hAnsi="Times New Roman" w:eastAsia="楷体"/>
          <w:b/>
          <w:sz w:val="32"/>
          <w:szCs w:val="32"/>
        </w:rPr>
        <w:t>（四）技术获奖情况</w:t>
      </w:r>
    </w:p>
    <w:p>
      <w:pPr>
        <w:spacing w:line="360" w:lineRule="auto"/>
        <w:ind w:firstLine="480" w:firstLineChars="1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参与</w:t>
      </w:r>
      <w:r>
        <w:rPr>
          <w:rFonts w:hint="eastAsia" w:ascii="仿宋" w:hAnsi="仿宋" w:eastAsia="仿宋"/>
          <w:sz w:val="32"/>
          <w:szCs w:val="32"/>
        </w:rPr>
        <w:t>制定发布行业标准《富硒农产品》</w:t>
      </w:r>
      <w:r>
        <w:rPr>
          <w:rFonts w:hint="eastAsia" w:ascii="仿宋" w:hAnsi="仿宋" w:eastAsia="仿宋"/>
          <w:sz w:val="32"/>
          <w:szCs w:val="32"/>
          <w:lang w:eastAsia="zh-CN"/>
        </w:rPr>
        <w:t>（GHT1135-2017）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地方标准</w:t>
      </w:r>
      <w:r>
        <w:rPr>
          <w:rFonts w:hint="eastAsia" w:ascii="仿宋" w:hAnsi="仿宋" w:eastAsia="仿宋"/>
          <w:sz w:val="32"/>
          <w:szCs w:val="32"/>
        </w:rPr>
        <w:t>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富有机硒稻米技术规程</w:t>
      </w:r>
      <w:r>
        <w:rPr>
          <w:rFonts w:hint="eastAsia" w:ascii="仿宋" w:hAnsi="仿宋" w:eastAsia="仿宋"/>
          <w:sz w:val="32"/>
          <w:szCs w:val="32"/>
        </w:rPr>
        <w:t>》</w:t>
      </w:r>
      <w:r>
        <w:rPr>
          <w:rFonts w:hint="eastAsia" w:ascii="仿宋" w:hAnsi="仿宋" w:eastAsia="仿宋"/>
          <w:sz w:val="32"/>
          <w:szCs w:val="32"/>
          <w:lang w:eastAsia="zh-CN"/>
        </w:rPr>
        <w:t>（DB3401/T 76—2012）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32"/>
          <w:szCs w:val="32"/>
        </w:rPr>
        <w:t>该技术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相关成果还获得</w:t>
      </w:r>
      <w:r>
        <w:rPr>
          <w:rFonts w:hint="eastAsia" w:ascii="仿宋" w:hAnsi="仿宋" w:eastAsia="仿宋"/>
          <w:sz w:val="32"/>
          <w:szCs w:val="32"/>
        </w:rPr>
        <w:t>广西科学技术三等奖，广西农业科学院科学技术二等奖，苏州市科技进步三等奖。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黑体"/>
          <w:color w:val="000000"/>
          <w:sz w:val="36"/>
          <w:szCs w:val="36"/>
        </w:rPr>
      </w:pPr>
      <w:r>
        <w:rPr>
          <w:rFonts w:ascii="Times New Roman" w:hAnsi="Times New Roman" w:eastAsia="黑体"/>
          <w:sz w:val="32"/>
          <w:szCs w:val="32"/>
        </w:rPr>
        <w:t>二、技术要点</w:t>
      </w:r>
    </w:p>
    <w:p>
      <w:pPr>
        <w:spacing w:line="360" w:lineRule="auto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ascii="仿宋" w:hAnsi="仿宋" w:eastAsia="仿宋"/>
          <w:sz w:val="32"/>
          <w:szCs w:val="32"/>
        </w:rPr>
        <w:t>1、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技术原理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针对不能天然达到GB28050《预包装食品营养标签通则》中有关富硒大米（即硒含量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0.15 mg/kg</w:t>
      </w:r>
      <w:r>
        <w:rPr>
          <w:rFonts w:hint="eastAsia" w:ascii="仿宋" w:hAnsi="仿宋" w:eastAsia="仿宋"/>
          <w:sz w:val="32"/>
          <w:szCs w:val="32"/>
        </w:rPr>
        <w:t>）硒含量要求的水稻，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需要</w:t>
      </w:r>
      <w:r>
        <w:rPr>
          <w:rFonts w:hint="eastAsia" w:ascii="仿宋" w:hAnsi="仿宋" w:eastAsia="仿宋"/>
          <w:sz w:val="32"/>
          <w:szCs w:val="32"/>
        </w:rPr>
        <w:t>在水稻的生长过程中，应用生物营养强化理念，有效增加水稻植株的硒元素供给，使得水稻植株在生长过程中不断的吸收、转化、积累硒元素，并最终富集于水稻中，实现富硒水稻的培育。</w:t>
      </w:r>
    </w:p>
    <w:p>
      <w:pPr>
        <w:spacing w:line="360" w:lineRule="auto"/>
        <w:ind w:firstLine="640" w:firstLineChars="200"/>
        <w:rPr>
          <w:rFonts w:hint="default" w:ascii="仿宋" w:hAnsi="仿宋" w:eastAsia="仿宋"/>
          <w:sz w:val="32"/>
          <w:szCs w:val="32"/>
          <w:lang w:val="en-US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对象选择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选择</w:t>
      </w:r>
      <w:r>
        <w:rPr>
          <w:rFonts w:hint="eastAsia" w:ascii="仿宋" w:hAnsi="仿宋" w:eastAsia="仿宋"/>
          <w:sz w:val="32"/>
          <w:szCs w:val="32"/>
        </w:rPr>
        <w:t>生育期适中、株型紧凑、茎秆粗壮、病虫害</w:t>
      </w:r>
      <w:r>
        <w:rPr>
          <w:rFonts w:ascii="仿宋" w:hAnsi="仿宋" w:eastAsia="仿宋"/>
          <w:sz w:val="32"/>
          <w:szCs w:val="32"/>
        </w:rPr>
        <w:t>抗性较强的优质</w:t>
      </w:r>
      <w:r>
        <w:rPr>
          <w:rFonts w:hint="eastAsia" w:ascii="仿宋" w:hAnsi="仿宋" w:eastAsia="仿宋"/>
          <w:sz w:val="32"/>
          <w:szCs w:val="32"/>
        </w:rPr>
        <w:t>高产</w:t>
      </w:r>
      <w:r>
        <w:rPr>
          <w:rFonts w:ascii="仿宋" w:hAnsi="仿宋" w:eastAsia="仿宋"/>
          <w:sz w:val="32"/>
          <w:szCs w:val="32"/>
        </w:rPr>
        <w:t>水稻品种。品种</w:t>
      </w:r>
      <w:r>
        <w:rPr>
          <w:rFonts w:hint="eastAsia" w:ascii="仿宋" w:hAnsi="仿宋" w:eastAsia="仿宋"/>
          <w:sz w:val="32"/>
          <w:szCs w:val="32"/>
        </w:rPr>
        <w:t>应通过</w:t>
      </w:r>
      <w:r>
        <w:rPr>
          <w:rFonts w:ascii="仿宋" w:hAnsi="仿宋" w:eastAsia="仿宋"/>
          <w:sz w:val="32"/>
          <w:szCs w:val="32"/>
        </w:rPr>
        <w:t>国家或贵州省农作物品种审定委员会审定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认定</w:t>
      </w:r>
      <w:r>
        <w:rPr>
          <w:rFonts w:hint="eastAsia" w:ascii="仿宋" w:hAnsi="仿宋" w:eastAsia="仿宋"/>
          <w:sz w:val="32"/>
          <w:szCs w:val="32"/>
        </w:rPr>
        <w:t>），</w:t>
      </w:r>
      <w:r>
        <w:rPr>
          <w:rFonts w:ascii="仿宋" w:hAnsi="仿宋" w:eastAsia="仿宋"/>
          <w:sz w:val="32"/>
          <w:szCs w:val="32"/>
        </w:rPr>
        <w:t>稻米品质达到国标三级以上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富硒生物营养强化时间</w:t>
      </w:r>
    </w:p>
    <w:p>
      <w:pPr>
        <w:spacing w:line="360" w:lineRule="auto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根据水稻整个生育期对硒的吸收利用曲线，选择水稻对硒利用率最高的阶段进行富硒生物营养强化的实施，过早会造成硒的浪费、过晚则不能确保达到富硒效果。</w:t>
      </w:r>
    </w:p>
    <w:p>
      <w:pPr>
        <w:spacing w:line="360" w:lineRule="auto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因此，选择</w:t>
      </w:r>
      <w:r>
        <w:rPr>
          <w:rFonts w:hint="default" w:ascii="仿宋" w:hAnsi="仿宋" w:eastAsia="仿宋"/>
          <w:sz w:val="32"/>
          <w:szCs w:val="32"/>
          <w:lang w:eastAsia="zh-CN"/>
        </w:rPr>
        <w:t>在水稻杨花结束后的灌浆初期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，进行水稻富硒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叶面</w:t>
      </w:r>
      <w:r>
        <w:rPr>
          <w:rFonts w:hint="default" w:ascii="仿宋" w:hAnsi="仿宋" w:eastAsia="仿宋"/>
          <w:sz w:val="32"/>
          <w:szCs w:val="32"/>
          <w:lang w:eastAsia="zh-CN"/>
        </w:rPr>
        <w:t>强化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</w:t>
      </w:r>
    </w:p>
    <w:p>
      <w:pPr>
        <w:spacing w:line="360" w:lineRule="auto"/>
        <w:jc w:val="left"/>
        <w:rPr>
          <w:rFonts w:ascii="仿宋" w:hAnsi="仿宋" w:eastAsia="仿宋"/>
          <w:color w:val="FF0000"/>
          <w:sz w:val="32"/>
          <w:szCs w:val="32"/>
        </w:rPr>
      </w:pPr>
      <w:r>
        <w:rPr>
          <w:rFonts w:ascii="仿宋" w:hAnsi="仿宋" w:eastAsia="仿宋"/>
          <w:color w:val="FF0000"/>
          <w:sz w:val="32"/>
          <w:szCs w:val="32"/>
        </w:rPr>
        <w:drawing>
          <wp:inline distT="0" distB="0" distL="0" distR="0">
            <wp:extent cx="2647950" cy="2724150"/>
            <wp:effectExtent l="0" t="0" r="19050" b="19050"/>
            <wp:docPr id="5" name="图片 5" descr="/Users/lifei/Desktop/u=3262101167,4097339350&amp;fm=253&amp;fmt=auto&amp;app=138&amp;f=JPEG.jpgu=3262101167,4097339350&amp;fm=253&amp;fmt=auto&amp;app=138&amp;f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/Users/lifei/Desktop/u=3262101167,4097339350&amp;fm=253&amp;fmt=auto&amp;app=138&amp;f=JPEG.jpgu=3262101167,4097339350&amp;fm=253&amp;fmt=auto&amp;app=138&amp;f=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9219" r="19219"/>
                    <a:stretch>
                      <a:fillRect/>
                    </a:stretch>
                  </pic:blipFill>
                  <pic:spPr>
                    <a:xfrm>
                      <a:off x="0" y="0"/>
                      <a:ext cx="2651288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color w:val="FF0000"/>
          <w:sz w:val="32"/>
          <w:szCs w:val="32"/>
        </w:rPr>
        <w:drawing>
          <wp:inline distT="0" distB="0" distL="0" distR="0">
            <wp:extent cx="2571750" cy="2724150"/>
            <wp:effectExtent l="0" t="0" r="19050" b="19050"/>
            <wp:docPr id="4" name="图片 2" descr="/Users/lifei/Desktop/u=1889317737,4234406434&amp;fm=253&amp;fmt=auto&amp;app=138&amp;f=JPEG.jpgu=1889317737,4234406434&amp;fm=253&amp;fmt=auto&amp;app=138&amp;f=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/Users/lifei/Desktop/u=1889317737,4234406434&amp;fm=253&amp;fmt=auto&amp;app=138&amp;f=JPEG.jpgu=1889317737,4234406434&amp;fm=253&amp;fmt=auto&amp;app=138&amp;f=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0501" r="20501"/>
                    <a:stretch>
                      <a:fillRect/>
                    </a:stretch>
                  </pic:blipFill>
                  <pic:spPr>
                    <a:xfrm>
                      <a:off x="0" y="0"/>
                      <a:ext cx="2573595" cy="272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1水稻叶面硒营养强化最佳实施期（灌浆初期）</w:t>
      </w:r>
    </w:p>
    <w:p>
      <w:pPr>
        <w:spacing w:line="360" w:lineRule="auto"/>
        <w:ind w:firstLine="640" w:firstLineChars="200"/>
        <w:rPr>
          <w:rFonts w:hint="default" w:ascii="仿宋" w:hAnsi="仿宋" w:eastAsia="仿宋"/>
          <w:sz w:val="32"/>
          <w:szCs w:val="32"/>
          <w:lang w:val="en-US"/>
        </w:rPr>
      </w:pPr>
      <w:r>
        <w:rPr>
          <w:rFonts w:ascii="仿宋" w:hAnsi="仿宋" w:eastAsia="仿宋"/>
          <w:sz w:val="32"/>
          <w:szCs w:val="32"/>
        </w:rPr>
        <w:t>4、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富硒生物营养强化方案</w:t>
      </w:r>
    </w:p>
    <w:p>
      <w:pPr>
        <w:spacing w:line="360" w:lineRule="auto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总的原则是：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选择</w:t>
      </w:r>
      <w:r>
        <w:rPr>
          <w:rFonts w:hint="eastAsia" w:ascii="仿宋" w:hAnsi="仿宋" w:eastAsia="仿宋" w:cs="宋体"/>
          <w:sz w:val="32"/>
          <w:szCs w:val="32"/>
        </w:rPr>
        <w:t>3天之内无降雨、无5级以上大风；上午10点之前或下午4点之后（以无强烈太阳照射天气、避露水为宜），将水稻专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用</w:t>
      </w:r>
      <w:r>
        <w:rPr>
          <w:rFonts w:hint="eastAsia" w:ascii="仿宋" w:hAnsi="仿宋" w:eastAsia="仿宋" w:cs="宋体"/>
          <w:sz w:val="32"/>
          <w:szCs w:val="32"/>
        </w:rPr>
        <w:t>氨基酸水溶肥料（含硒型）按照经验用量0.25 L /亩的用量稀释10-100倍以后进行人工或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稀释2倍以上后用</w:t>
      </w:r>
      <w:r>
        <w:rPr>
          <w:rFonts w:hint="eastAsia" w:ascii="仿宋" w:hAnsi="仿宋" w:eastAsia="仿宋" w:cs="宋体"/>
          <w:sz w:val="32"/>
          <w:szCs w:val="32"/>
        </w:rPr>
        <w:t>无人机作业叶面喷施，喷施叶片正反两面，喷足、喷匀、以不滴水为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宜</w:t>
      </w:r>
      <w:r>
        <w:rPr>
          <w:rFonts w:hint="eastAsia" w:ascii="仿宋" w:hAnsi="仿宋" w:eastAsia="仿宋" w:cs="宋体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5、水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肥</w:t>
      </w:r>
      <w:r>
        <w:rPr>
          <w:rFonts w:ascii="仿宋" w:hAnsi="仿宋" w:eastAsia="仿宋"/>
          <w:sz w:val="32"/>
          <w:szCs w:val="32"/>
        </w:rPr>
        <w:t>管理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水稻种植过程中，按照正常的水肥管理过程进行水分、肥料及植保的管理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ascii="仿宋" w:hAnsi="仿宋" w:eastAsia="仿宋"/>
          <w:sz w:val="32"/>
          <w:szCs w:val="32"/>
        </w:rPr>
        <w:t>6、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检测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在水稻收割前，到田间按照S形或梅花形采取富硒水稻样品，进行硒含量的分析检测，若脱壳精米后硒含量≥0.15 mg/kg，则富硒生物营养强化成功。</w:t>
      </w:r>
    </w:p>
    <w:p>
      <w:pPr>
        <w:pStyle w:val="16"/>
        <w:tabs>
          <w:tab w:val="center" w:pos="4201"/>
          <w:tab w:val="right" w:leader="dot" w:pos="9298"/>
        </w:tabs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7.</w:t>
      </w:r>
      <w:r>
        <w:rPr>
          <w:rFonts w:hint="eastAsia" w:ascii="仿宋" w:hAnsi="仿宋" w:eastAsia="仿宋"/>
          <w:bCs/>
          <w:sz w:val="32"/>
          <w:szCs w:val="32"/>
        </w:rPr>
        <w:t>收割</w:t>
      </w:r>
    </w:p>
    <w:p>
      <w:pPr>
        <w:pStyle w:val="16"/>
        <w:tabs>
          <w:tab w:val="center" w:pos="4201"/>
          <w:tab w:val="right" w:leader="dot" w:pos="9298"/>
        </w:tabs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一般在收割前7天排水晒田，当85%的谷粒黄熟时用联合收割机或小型脱粒机进行收割。</w:t>
      </w:r>
    </w:p>
    <w:p>
      <w:pPr>
        <w:adjustRightInd w:val="0"/>
        <w:snapToGrid w:val="0"/>
        <w:spacing w:line="60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三、适宜区域</w:t>
      </w:r>
    </w:p>
    <w:p>
      <w:pPr>
        <w:adjustRightInd w:val="0"/>
        <w:snapToGrid w:val="0"/>
        <w:spacing w:line="60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各类水稻种植区域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四、注意事项</w:t>
      </w:r>
    </w:p>
    <w:p>
      <w:pPr>
        <w:adjustRightInd w:val="0"/>
        <w:snapToGrid w:val="0"/>
        <w:spacing w:line="600" w:lineRule="exact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叶面强化前需要提前查看天气，若3天内下雨后需要及时补施；</w:t>
      </w:r>
    </w:p>
    <w:p>
      <w:pPr>
        <w:adjustRightInd w:val="0"/>
        <w:snapToGrid w:val="0"/>
        <w:spacing w:line="60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采用人工方式进行</w:t>
      </w:r>
      <w:r>
        <w:rPr>
          <w:rFonts w:hint="eastAsia" w:ascii="仿宋" w:hAnsi="仿宋" w:eastAsia="仿宋"/>
          <w:sz w:val="32"/>
          <w:szCs w:val="32"/>
        </w:rPr>
        <w:t>叶面强化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时，</w:t>
      </w:r>
      <w:r>
        <w:rPr>
          <w:rFonts w:hint="eastAsia" w:ascii="仿宋" w:hAnsi="仿宋" w:eastAsia="仿宋"/>
          <w:sz w:val="32"/>
          <w:szCs w:val="32"/>
        </w:rPr>
        <w:t>稀释的比例控制在1：10或以上，避免高浓度灼伤水稻。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黑体"/>
          <w:color w:val="000000"/>
          <w:sz w:val="36"/>
          <w:szCs w:val="36"/>
        </w:rPr>
      </w:pPr>
      <w:r>
        <w:rPr>
          <w:rFonts w:ascii="Times New Roman" w:hAnsi="Times New Roman" w:eastAsia="黑体"/>
          <w:sz w:val="32"/>
          <w:szCs w:val="32"/>
        </w:rPr>
        <w:t>五、技术依托单位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仿宋" w:hAnsi="仿宋" w:eastAsia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贵州硒谷生物科技有限公司</w:t>
      </w:r>
    </w:p>
    <w:p>
      <w:pPr>
        <w:tabs>
          <w:tab w:val="left" w:pos="1720"/>
        </w:tabs>
        <w:spacing w:line="360" w:lineRule="auto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联系地址：贵阳市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开阳县开州大道贵阳银行9楼</w:t>
      </w:r>
    </w:p>
    <w:p>
      <w:pPr>
        <w:tabs>
          <w:tab w:val="left" w:pos="1720"/>
        </w:tabs>
        <w:spacing w:line="360" w:lineRule="auto"/>
        <w:ind w:firstLine="640" w:firstLineChars="200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邮政编码：550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300</w:t>
      </w:r>
    </w:p>
    <w:p>
      <w:pPr>
        <w:tabs>
          <w:tab w:val="left" w:pos="1720"/>
        </w:tabs>
        <w:spacing w:line="360" w:lineRule="auto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联系人：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杨秀涛</w:t>
      </w:r>
    </w:p>
    <w:p>
      <w:pPr>
        <w:tabs>
          <w:tab w:val="left" w:pos="1720"/>
        </w:tabs>
        <w:spacing w:line="360" w:lineRule="auto"/>
        <w:ind w:firstLine="640" w:firstLineChars="200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电子信箱：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443279500@qq.com</w:t>
      </w:r>
    </w:p>
    <w:p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xi Sans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altName w:val="Bitstream Vera Sans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Bitstream Vera Sans">
    <w:panose1 w:val="020B0603030804020204"/>
    <w:charset w:val="00"/>
    <w:family w:val="auto"/>
    <w:pitch w:val="default"/>
    <w:sig w:usb0="800000AF" w:usb1="10002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4MjJhZTgzYTAwZGE2OTg4MDFiY2YxZmU0ZDkzMzcifQ=="/>
  </w:docVars>
  <w:rsids>
    <w:rsidRoot w:val="003142E4"/>
    <w:rsid w:val="00106280"/>
    <w:rsid w:val="0012708B"/>
    <w:rsid w:val="00140164"/>
    <w:rsid w:val="001D32A3"/>
    <w:rsid w:val="00204868"/>
    <w:rsid w:val="0025253C"/>
    <w:rsid w:val="00290811"/>
    <w:rsid w:val="003142E4"/>
    <w:rsid w:val="00380B38"/>
    <w:rsid w:val="00381AFF"/>
    <w:rsid w:val="00405EB6"/>
    <w:rsid w:val="00437E6B"/>
    <w:rsid w:val="004B42BE"/>
    <w:rsid w:val="00563F30"/>
    <w:rsid w:val="00600CEB"/>
    <w:rsid w:val="00687A85"/>
    <w:rsid w:val="006A5F04"/>
    <w:rsid w:val="008707E9"/>
    <w:rsid w:val="008A7DEC"/>
    <w:rsid w:val="008B2459"/>
    <w:rsid w:val="008F7CBD"/>
    <w:rsid w:val="009518B3"/>
    <w:rsid w:val="00956FFB"/>
    <w:rsid w:val="009E0CB1"/>
    <w:rsid w:val="00B650FE"/>
    <w:rsid w:val="00BE71C1"/>
    <w:rsid w:val="00C65CE6"/>
    <w:rsid w:val="00C75DA7"/>
    <w:rsid w:val="00CA1BF3"/>
    <w:rsid w:val="00CA43F0"/>
    <w:rsid w:val="00D07D4A"/>
    <w:rsid w:val="00D50EF3"/>
    <w:rsid w:val="00D57555"/>
    <w:rsid w:val="00DF6EEE"/>
    <w:rsid w:val="00EB2494"/>
    <w:rsid w:val="00F849AA"/>
    <w:rsid w:val="00F96C64"/>
    <w:rsid w:val="00FD040D"/>
    <w:rsid w:val="07DB2A58"/>
    <w:rsid w:val="129B6A06"/>
    <w:rsid w:val="15702C4E"/>
    <w:rsid w:val="1B7DCF90"/>
    <w:rsid w:val="2B9E0FEB"/>
    <w:rsid w:val="2C6FCB70"/>
    <w:rsid w:val="3CE7AEB6"/>
    <w:rsid w:val="44054061"/>
    <w:rsid w:val="49A874C9"/>
    <w:rsid w:val="59B34563"/>
    <w:rsid w:val="64CC3F6A"/>
    <w:rsid w:val="64F78837"/>
    <w:rsid w:val="67192FC0"/>
    <w:rsid w:val="716E3B19"/>
    <w:rsid w:val="73AF95BA"/>
    <w:rsid w:val="78353125"/>
    <w:rsid w:val="7C0F38E9"/>
    <w:rsid w:val="7E555BF7"/>
    <w:rsid w:val="7EF728A7"/>
    <w:rsid w:val="7EF7C4E1"/>
    <w:rsid w:val="7FFCA685"/>
    <w:rsid w:val="AFFBE749"/>
    <w:rsid w:val="EDFC786F"/>
    <w:rsid w:val="EDFF72D0"/>
    <w:rsid w:val="EFBD8B2E"/>
    <w:rsid w:val="F9EFB6A0"/>
    <w:rsid w:val="FAF62C80"/>
    <w:rsid w:val="FF9D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100" w:afterLines="100" w:line="360" w:lineRule="exact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6">
    <w:name w:val="Document Map"/>
    <w:basedOn w:val="1"/>
    <w:qFormat/>
    <w:uiPriority w:val="0"/>
    <w:rPr>
      <w:rFonts w:ascii="宋体"/>
      <w:sz w:val="18"/>
      <w:szCs w:val="18"/>
    </w:r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Hyperlink"/>
    <w:basedOn w:val="12"/>
    <w:qFormat/>
    <w:uiPriority w:val="0"/>
    <w:rPr>
      <w:rFonts w:ascii="Arial" w:hAnsi="Arial" w:eastAsia="Times New Roman" w:cs="Verdana"/>
      <w:b/>
      <w:color w:val="0000FF"/>
      <w:kern w:val="0"/>
      <w:sz w:val="24"/>
      <w:szCs w:val="20"/>
      <w:u w:val="single"/>
    </w:rPr>
  </w:style>
  <w:style w:type="paragraph" w:customStyle="1" w:styleId="14">
    <w:name w:val="正文-公1"/>
    <w:basedOn w:val="15"/>
    <w:next w:val="9"/>
    <w:qFormat/>
    <w:uiPriority w:val="0"/>
    <w:pPr>
      <w:ind w:firstLine="200" w:firstLineChars="200"/>
    </w:pPr>
    <w:rPr>
      <w:color w:val="000000"/>
    </w:rPr>
  </w:style>
  <w:style w:type="paragraph" w:customStyle="1" w:styleId="15">
    <w:name w:val="正文 New"/>
    <w:next w:val="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段"/>
    <w:next w:val="6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1674</Words>
  <Characters>1797</Characters>
  <Lines>21</Lines>
  <Paragraphs>5</Paragraphs>
  <TotalTime>13</TotalTime>
  <ScaleCrop>false</ScaleCrop>
  <LinksUpToDate>false</LinksUpToDate>
  <CharactersWithSpaces>1805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2022-02-17T23:29:00Z</dcterms:created>
  <dc:creator>fgzhen</dc:creator>
  <cp:lastModifiedBy>sophie-jie</cp:lastModifiedBy>
  <cp:lastPrinted>2021-01-13T00:38:00Z</cp:lastPrinted>
  <dcterms:modified xsi:type="dcterms:W3CDTF">2025-04-24T11:26:19Z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138AE7CBA25820F54355F165C55568A3_43</vt:lpwstr>
  </property>
  <property fmtid="{D5CDD505-2E9C-101B-9397-08002B2CF9AE}" pid="4" name="KSOTemplateDocerSaveRecord">
    <vt:lpwstr>eyJoZGlkIjoiZWZkOTQ4OThmOGQ1OWIxZjkxMTc5MGRhZWUyNDg5ZDUifQ==</vt:lpwstr>
  </property>
</Properties>
</file>