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560"/>
        </w:tabs>
        <w:spacing w:line="560" w:lineRule="exact"/>
        <w:jc w:val="left"/>
        <w:rPr>
          <w:rFonts w:hint="default" w:ascii="仿宋_GB2312" w:eastAsia="仿宋_GB2312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_GB2312" w:eastAsia="仿宋_GB2312"/>
          <w:sz w:val="28"/>
          <w:szCs w:val="28"/>
          <w:lang w:eastAsia="zh-CN"/>
        </w:rPr>
        <w:t>附件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</w:t>
      </w:r>
    </w:p>
    <w:tbl>
      <w:tblPr>
        <w:tblStyle w:val="6"/>
        <w:tblW w:w="9160" w:type="dxa"/>
        <w:tblInd w:w="-165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2830"/>
        <w:gridCol w:w="1697"/>
        <w:gridCol w:w="1086"/>
        <w:gridCol w:w="1007"/>
        <w:gridCol w:w="818"/>
        <w:gridCol w:w="114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8" w:hRule="atLeast"/>
        </w:trPr>
        <w:tc>
          <w:tcPr>
            <w:tcW w:w="9160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44"/>
                <w:szCs w:val="44"/>
                <w:lang w:val="en-US" w:eastAsia="zh-CN" w:bidi="ar"/>
              </w:rPr>
              <w:t>2022年重大建设项目和综合监管企业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  <w:lang w:bidi="ar"/>
              </w:rPr>
              <w:t>单位名称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  <w:lang w:bidi="ar"/>
              </w:rPr>
              <w:t>所属行业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  <w:lang w:bidi="ar"/>
              </w:rPr>
              <w:t>生产状况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  <w:lang w:bidi="ar"/>
              </w:rPr>
              <w:t>责任单位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  <w:lang w:bidi="ar"/>
              </w:rPr>
              <w:t>检查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  <w:lang w:bidi="ar"/>
              </w:rPr>
              <w:t>时间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宁德时代5万吨双氟磺酰亚氨锂项目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危化企业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在建危化项目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 w:bidi="ar"/>
              </w:rPr>
              <w:t>执法三科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每季度</w:t>
            </w:r>
          </w:p>
        </w:tc>
        <w:tc>
          <w:tcPr>
            <w:tcW w:w="114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 w:bidi="ar"/>
              </w:rPr>
              <w:t>项目建设完毕，责任单位为执法二科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中伟100万吨磷酸铁锂项目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危化企业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在建危化项目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 w:bidi="ar"/>
              </w:rPr>
              <w:t>执法三科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每季度</w:t>
            </w:r>
          </w:p>
        </w:tc>
        <w:tc>
          <w:tcPr>
            <w:tcW w:w="11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磷化集团40万吨PPA项目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危化企业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在建危化项目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 w:bidi="ar"/>
              </w:rPr>
              <w:t>执法三科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每季度</w:t>
            </w:r>
          </w:p>
        </w:tc>
        <w:tc>
          <w:tcPr>
            <w:tcW w:w="114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兖矿新城三期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建筑施工企业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 w:bidi="ar"/>
              </w:rPr>
              <w:t>在建项目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执法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 w:bidi="ar"/>
              </w:rPr>
              <w:t>三科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科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每季度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水东御府一期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建筑施工企业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 w:bidi="ar"/>
              </w:rPr>
              <w:t>在建项目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执法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 w:bidi="ar"/>
              </w:rPr>
              <w:t>三科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科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每季度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开阳县硒城街道青杠坡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道路施工项目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 w:bidi="ar"/>
              </w:rPr>
              <w:t>在建项目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执法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 w:bidi="ar"/>
              </w:rPr>
              <w:t>三科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科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每季度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K73+415-K74+795.764（贵州省贵阳公路管理局普通省道公路安全提升工程）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道路施工项目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 w:bidi="ar"/>
              </w:rPr>
              <w:t>在建项目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执法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 w:bidi="ar"/>
              </w:rPr>
              <w:t>三科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科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每季度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贵州南方乳业有限公司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农业企业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正常生产经营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执法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 w:bidi="ar"/>
              </w:rPr>
              <w:t>三科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科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每季度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贵州省开阳金福喜食品有限公司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农业企业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 w:bidi="ar"/>
              </w:rPr>
              <w:t>正常生产经营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执法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 w:bidi="ar"/>
              </w:rPr>
              <w:t>三科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科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每季度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拐二水库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水务项目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 w:bidi="ar"/>
              </w:rPr>
              <w:t>在建项目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执法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 w:bidi="ar"/>
              </w:rPr>
              <w:t>三科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科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每季度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rPr>
          <w:trHeight w:val="6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后槽水库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水务项目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 w:bidi="ar"/>
              </w:rPr>
              <w:t>在建项目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执法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 w:bidi="ar"/>
              </w:rPr>
              <w:t>三科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科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每季度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贵州省开阳县物资贸易有限公司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道路交通企业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 w:bidi="ar"/>
              </w:rPr>
              <w:t>正常经营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执法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 w:bidi="ar"/>
              </w:rPr>
              <w:t>三科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科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每季度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开阳黔顺汽车客货运输有限公司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道路交通企业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 w:bidi="ar"/>
              </w:rPr>
              <w:t>正常经营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执法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 w:bidi="ar"/>
              </w:rPr>
              <w:t>三科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科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每季度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开阳石达燃气有限公司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燃气企业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 w:bidi="ar"/>
              </w:rPr>
              <w:t>正常经营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执法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 w:bidi="ar"/>
              </w:rPr>
              <w:t>三科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科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每季度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开阳县赣黔液化气石油气有限公司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燃气企业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 w:bidi="ar"/>
              </w:rPr>
              <w:t>正常经营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执法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 w:bidi="ar"/>
              </w:rPr>
              <w:t>三科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科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每季度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北京华联超市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商贸企业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 w:bidi="ar"/>
              </w:rPr>
              <w:t>正常经营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执法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 w:bidi="ar"/>
              </w:rPr>
              <w:t>三科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科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每季度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永辉超市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商贸企业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正常经营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执法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 w:bidi="ar"/>
              </w:rPr>
              <w:t>三科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科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每季度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合计</w:t>
            </w:r>
          </w:p>
        </w:tc>
        <w:tc>
          <w:tcPr>
            <w:tcW w:w="85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  <w:lang w:val="en-US" w:eastAsia="zh-CN" w:bidi="ar"/>
              </w:rPr>
              <w:t>17</w:t>
            </w: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  <w:lang w:bidi="ar"/>
              </w:rPr>
              <w:t>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5" w:hRule="atLeast"/>
        </w:trPr>
        <w:tc>
          <w:tcPr>
            <w:tcW w:w="9160" w:type="dxa"/>
            <w:gridSpan w:val="7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注：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 w:bidi="ar"/>
              </w:rPr>
              <w:t>对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 xml:space="preserve">纳入计划的其他领域的企业，实行全领域执法检查工作。  </w:t>
            </w:r>
          </w:p>
        </w:tc>
      </w:tr>
    </w:tbl>
    <w:p>
      <w:pPr>
        <w:tabs>
          <w:tab w:val="left" w:pos="7560"/>
        </w:tabs>
        <w:spacing w:line="560" w:lineRule="exact"/>
        <w:ind w:firstLine="4760" w:firstLineChars="1700"/>
        <w:rPr>
          <w:rFonts w:hint="eastAsia" w:ascii="仿宋_GB2312" w:eastAsia="仿宋_GB2312"/>
          <w:sz w:val="28"/>
          <w:szCs w:val="28"/>
        </w:rPr>
      </w:pPr>
    </w:p>
    <w:p>
      <w:pPr>
        <w:tabs>
          <w:tab w:val="left" w:pos="7560"/>
        </w:tabs>
        <w:spacing w:line="560" w:lineRule="exact"/>
        <w:ind w:firstLine="4760" w:firstLineChars="1700"/>
        <w:rPr>
          <w:rFonts w:hint="eastAsia" w:ascii="仿宋_GB2312" w:eastAsia="仿宋_GB2312"/>
          <w:sz w:val="28"/>
          <w:szCs w:val="28"/>
        </w:rPr>
      </w:pPr>
    </w:p>
    <w:p>
      <w:pPr>
        <w:tabs>
          <w:tab w:val="left" w:pos="7560"/>
        </w:tabs>
        <w:spacing w:line="560" w:lineRule="exact"/>
        <w:ind w:firstLine="4760" w:firstLineChars="1700"/>
        <w:rPr>
          <w:rFonts w:hint="eastAsia" w:ascii="仿宋_GB2312" w:eastAsia="仿宋_GB2312"/>
          <w:sz w:val="28"/>
          <w:szCs w:val="28"/>
        </w:rPr>
      </w:pPr>
    </w:p>
    <w:p>
      <w:pPr>
        <w:tabs>
          <w:tab w:val="left" w:pos="7560"/>
        </w:tabs>
        <w:spacing w:line="560" w:lineRule="exact"/>
        <w:ind w:firstLine="4760" w:firstLineChars="1700"/>
        <w:rPr>
          <w:rFonts w:hint="eastAsia" w:ascii="仿宋_GB2312" w:eastAsia="仿宋_GB2312"/>
          <w:sz w:val="28"/>
          <w:szCs w:val="28"/>
        </w:rPr>
      </w:pPr>
    </w:p>
    <w:p>
      <w:pPr>
        <w:tabs>
          <w:tab w:val="left" w:pos="7560"/>
        </w:tabs>
        <w:spacing w:line="560" w:lineRule="exact"/>
        <w:ind w:firstLine="4760" w:firstLineChars="1700"/>
        <w:rPr>
          <w:rFonts w:hint="eastAsia" w:ascii="仿宋_GB2312" w:eastAsia="仿宋_GB2312"/>
          <w:sz w:val="28"/>
          <w:szCs w:val="28"/>
        </w:rPr>
      </w:pPr>
    </w:p>
    <w:p>
      <w:pPr>
        <w:tabs>
          <w:tab w:val="left" w:pos="7560"/>
        </w:tabs>
        <w:spacing w:line="560" w:lineRule="exact"/>
        <w:ind w:firstLine="4760" w:firstLineChars="1700"/>
        <w:rPr>
          <w:rFonts w:hint="eastAsia" w:ascii="仿宋_GB2312" w:eastAsia="仿宋_GB2312"/>
          <w:sz w:val="28"/>
          <w:szCs w:val="28"/>
        </w:rPr>
      </w:pPr>
    </w:p>
    <w:p>
      <w:pPr>
        <w:tabs>
          <w:tab w:val="left" w:pos="7560"/>
        </w:tabs>
        <w:spacing w:line="560" w:lineRule="exact"/>
        <w:ind w:firstLine="4760" w:firstLineChars="1700"/>
        <w:rPr>
          <w:rFonts w:hint="eastAsia" w:ascii="仿宋_GB2312" w:eastAsia="仿宋_GB2312"/>
          <w:sz w:val="28"/>
          <w:szCs w:val="28"/>
        </w:rPr>
      </w:pPr>
    </w:p>
    <w:p>
      <w:pPr>
        <w:tabs>
          <w:tab w:val="left" w:pos="7560"/>
        </w:tabs>
        <w:spacing w:line="560" w:lineRule="exact"/>
        <w:ind w:firstLine="4760" w:firstLineChars="1700"/>
        <w:rPr>
          <w:rFonts w:hint="eastAsia" w:ascii="仿宋_GB2312" w:eastAsia="仿宋_GB2312"/>
          <w:sz w:val="28"/>
          <w:szCs w:val="28"/>
        </w:rPr>
      </w:pPr>
    </w:p>
    <w:p>
      <w:pPr>
        <w:tabs>
          <w:tab w:val="left" w:pos="7560"/>
        </w:tabs>
        <w:spacing w:line="560" w:lineRule="exact"/>
        <w:ind w:firstLine="4760" w:firstLineChars="1700"/>
        <w:rPr>
          <w:rFonts w:hint="eastAsia" w:ascii="仿宋_GB2312" w:eastAsia="仿宋_GB2312"/>
          <w:sz w:val="28"/>
          <w:szCs w:val="28"/>
        </w:rPr>
      </w:pPr>
    </w:p>
    <w:p>
      <w:pPr>
        <w:tabs>
          <w:tab w:val="left" w:pos="7560"/>
        </w:tabs>
        <w:spacing w:line="560" w:lineRule="exact"/>
        <w:rPr>
          <w:rFonts w:hint="eastAsia" w:ascii="仿宋_GB2312" w:eastAsia="仿宋_GB2312"/>
          <w:sz w:val="28"/>
          <w:szCs w:val="28"/>
        </w:rPr>
      </w:pPr>
    </w:p>
    <w:p>
      <w:pPr>
        <w:tabs>
          <w:tab w:val="left" w:pos="7560"/>
        </w:tabs>
        <w:spacing w:line="560" w:lineRule="exact"/>
        <w:ind w:firstLine="4760" w:firstLineChars="1700"/>
        <w:rPr>
          <w:rFonts w:hint="eastAsia" w:ascii="仿宋_GB2312" w:eastAsia="仿宋_GB2312"/>
          <w:sz w:val="28"/>
          <w:szCs w:val="28"/>
        </w:rPr>
      </w:pPr>
    </w:p>
    <w:p>
      <w:pPr>
        <w:tabs>
          <w:tab w:val="left" w:pos="7560"/>
        </w:tabs>
        <w:spacing w:line="560" w:lineRule="exact"/>
        <w:ind w:firstLine="4760" w:firstLineChars="1700"/>
        <w:rPr>
          <w:rFonts w:hint="eastAsia" w:ascii="仿宋_GB2312" w:eastAsia="仿宋_GB2312"/>
          <w:sz w:val="28"/>
          <w:szCs w:val="28"/>
        </w:rPr>
      </w:pPr>
    </w:p>
    <w:p/>
    <w:sectPr>
      <w:footerReference r:id="rId3" w:type="default"/>
      <w:footerReference r:id="rId4" w:type="even"/>
      <w:pgSz w:w="11906" w:h="16838"/>
      <w:pgMar w:top="2098" w:right="1474" w:bottom="1985" w:left="1588" w:header="851" w:footer="158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="1628" w:h="852" w:hRule="exact" w:wrap="around" w:vAnchor="text" w:hAnchor="page" w:x="8789" w:y="8"/>
      <w:ind w:firstLine="280" w:firstLineChars="100"/>
      <w:rPr>
        <w:rStyle w:val="8"/>
        <w:rFonts w:hint="eastAsia" w:ascii="宋体" w:hAnsi="宋体"/>
        <w:sz w:val="28"/>
        <w:szCs w:val="28"/>
      </w:rPr>
    </w:pPr>
    <w:r>
      <w:rPr>
        <w:rStyle w:val="8"/>
        <w:rFonts w:hint="eastAsia" w:ascii="宋体" w:hAnsi="宋体"/>
        <w:sz w:val="28"/>
        <w:szCs w:val="28"/>
      </w:rPr>
      <w:t xml:space="preserve">— </w:t>
    </w:r>
    <w:r>
      <w:rPr>
        <w:rStyle w:val="8"/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Style w:val="8"/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3</w:t>
    </w:r>
    <w:r>
      <w:rPr>
        <w:rStyle w:val="8"/>
        <w:rFonts w:ascii="宋体" w:hAnsi="宋体"/>
        <w:sz w:val="28"/>
        <w:szCs w:val="28"/>
      </w:rPr>
      <w:fldChar w:fldCharType="end"/>
    </w:r>
    <w:r>
      <w:rPr>
        <w:rStyle w:val="8"/>
        <w:rFonts w:hint="eastAsia" w:ascii="宋体" w:hAnsi="宋体"/>
        <w:sz w:val="28"/>
        <w:szCs w:val="28"/>
      </w:rPr>
      <w:t xml:space="preserve"> —</w:t>
    </w:r>
  </w:p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="1618" w:h="1164" w:hRule="exact" w:wrap="around" w:vAnchor="text" w:hAnchor="margin" w:xAlign="outside" w:y="8"/>
      <w:ind w:firstLine="280" w:firstLineChars="100"/>
      <w:rPr>
        <w:rStyle w:val="8"/>
        <w:rFonts w:hint="eastAsia" w:ascii="宋体" w:hAnsi="宋体"/>
        <w:sz w:val="28"/>
        <w:szCs w:val="28"/>
      </w:rPr>
    </w:pPr>
    <w:r>
      <w:rPr>
        <w:rStyle w:val="8"/>
        <w:rFonts w:hint="eastAsia" w:ascii="宋体" w:hAnsi="宋体"/>
        <w:sz w:val="28"/>
        <w:szCs w:val="28"/>
      </w:rPr>
      <w:t xml:space="preserve">— </w:t>
    </w:r>
    <w:r>
      <w:rPr>
        <w:rStyle w:val="8"/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Style w:val="8"/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2</w:t>
    </w:r>
    <w:r>
      <w:rPr>
        <w:rStyle w:val="8"/>
        <w:rFonts w:ascii="宋体" w:hAnsi="宋体"/>
        <w:sz w:val="28"/>
        <w:szCs w:val="28"/>
      </w:rPr>
      <w:fldChar w:fldCharType="end"/>
    </w:r>
    <w:r>
      <w:rPr>
        <w:rStyle w:val="8"/>
        <w:rFonts w:hint="eastAsia" w:ascii="宋体" w:hAnsi="宋体"/>
        <w:sz w:val="28"/>
        <w:szCs w:val="28"/>
      </w:rPr>
      <w:t xml:space="preserve"> —</w:t>
    </w:r>
  </w:p>
  <w:p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2MTczY2I2ODdkNzcyZTY5MDNiNzU1MDliZGUwZDkifQ=="/>
  </w:docVars>
  <w:rsids>
    <w:rsidRoot w:val="00000000"/>
    <w:rsid w:val="1C7D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next w:val="3"/>
    <w:qFormat/>
    <w:uiPriority w:val="99"/>
    <w:pPr>
      <w:ind w:firstLine="200" w:firstLineChars="200"/>
    </w:pPr>
    <w:rPr>
      <w:color w:val="000000"/>
    </w:rPr>
  </w:style>
  <w:style w:type="paragraph" w:styleId="3">
    <w:name w:val="Normal (Web)"/>
    <w:basedOn w:val="1"/>
    <w:next w:val="4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paragraph" w:styleId="4">
    <w:name w:val="index 9"/>
    <w:basedOn w:val="1"/>
    <w:next w:val="1"/>
    <w:qFormat/>
    <w:uiPriority w:val="0"/>
    <w:pPr>
      <w:ind w:left="3360"/>
    </w:pPr>
    <w:rPr>
      <w:rFonts w:ascii="Times New Roman" w:hAnsi="Times New Roman" w:eastAsia="宋体" w:cs="Times New Roman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2022-05-31T01:21:40Z</dcterms:created>
  <dc:creator>Administrator</dc:creator>
  <cp:lastModifiedBy>孔佑发</cp:lastModifiedBy>
  <dcterms:modified xsi:type="dcterms:W3CDTF">2022-05-31T01:21:58Z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D150592D38044B73BFA90E5F1AB54F16</vt:lpwstr>
  </property>
</Properties>
</file>