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附件2</w:t>
      </w:r>
    </w:p>
    <w:tbl>
      <w:tblPr>
        <w:tblStyle w:val="5"/>
        <w:tblW w:w="9160" w:type="dxa"/>
        <w:tblInd w:w="-165" w:type="dxa"/>
        <w:tblLayout w:type="autofit"/>
        <w:tblCellMar>
          <w:top w:w="0" w:type="dxa"/>
          <w:left w:w="0" w:type="dxa"/>
          <w:bottom w:w="0" w:type="dxa"/>
          <w:right w:w="0" w:type="dxa"/>
        </w:tblCellMar>
      </w:tblPr>
      <w:tblGrid>
        <w:gridCol w:w="580"/>
        <w:gridCol w:w="2830"/>
        <w:gridCol w:w="1697"/>
        <w:gridCol w:w="1086"/>
        <w:gridCol w:w="1007"/>
        <w:gridCol w:w="818"/>
        <w:gridCol w:w="1142"/>
      </w:tblGrid>
      <w:tr>
        <w:tblPrEx>
          <w:tblCellMar>
            <w:top w:w="0" w:type="dxa"/>
            <w:left w:w="0" w:type="dxa"/>
            <w:bottom w:w="0" w:type="dxa"/>
            <w:right w:w="0" w:type="dxa"/>
          </w:tblCellMar>
        </w:tblPrEx>
        <w:trPr>
          <w:trHeight w:val="1338" w:hRule="atLeast"/>
        </w:trPr>
        <w:tc>
          <w:tcPr>
            <w:tcW w:w="9160" w:type="dxa"/>
            <w:gridSpan w:val="7"/>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2</w:t>
            </w:r>
            <w:r>
              <w:rPr>
                <w:rFonts w:hint="eastAsia" w:ascii="方正小标宋_GBK" w:hAnsi="方正小标宋_GBK" w:eastAsia="方正小标宋_GBK" w:cs="方正小标宋_GBK"/>
                <w:color w:val="000000"/>
                <w:kern w:val="0"/>
                <w:sz w:val="44"/>
                <w:szCs w:val="44"/>
                <w:lang w:bidi="ar"/>
              </w:rPr>
              <w:t>年度安全生产执法计划检查企业（一般）</w:t>
            </w:r>
          </w:p>
        </w:tc>
      </w:tr>
      <w:tr>
        <w:tblPrEx>
          <w:tblCellMar>
            <w:top w:w="0" w:type="dxa"/>
            <w:left w:w="0" w:type="dxa"/>
            <w:bottom w:w="0" w:type="dxa"/>
            <w:right w:w="0" w:type="dxa"/>
          </w:tblCellMar>
        </w:tblPrEx>
        <w:trPr>
          <w:trHeight w:val="711" w:hRule="atLeast"/>
        </w:trPr>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单位名称</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所属行业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生产状况</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责任单位</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bidi="ar"/>
              </w:rPr>
            </w:pPr>
            <w:r>
              <w:rPr>
                <w:rFonts w:hint="eastAsia" w:ascii="仿宋" w:hAnsi="仿宋" w:eastAsia="仿宋" w:cs="仿宋"/>
                <w:b/>
                <w:color w:val="auto"/>
                <w:kern w:val="0"/>
                <w:sz w:val="24"/>
                <w:szCs w:val="24"/>
                <w:lang w:bidi="ar"/>
              </w:rPr>
              <w:t>检查</w:t>
            </w:r>
          </w:p>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时间</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备注</w:t>
            </w: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贵州开磷（集团）马路坪矿段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贵州开磷（集团）用沙坝矿段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贵州开磷（集团）沙坝土矿段</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贵州迪阳矿业有限公司开阳县马场镇高烽铝土矿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开阳县鑫联矿业有限公司开阳县马场镇楠木渡铝钒土矿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贵州开阳建顺建材有限公司开阳县永温双合旧铁厂制碱用灰岩矿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开阳县兴龙砂石厂二分厂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贵州众合路鑫建材有限公司开阳县米坪乡大坪砂石矿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开阳雉翔砂石有限公司开阳县禾丰乡田冲砂石矿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开阳县宏远祥和建材有限公司开阳县宏远砂石厂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开阳春波矿业有限公司开阳县永温镇老堡砂石矿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贵州明俊建筑材料有限公司开阳县楠木渡镇双跃砂石矿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贵州久源进建材有限公司开阳县高寨乡久源进砂石厂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开阳喜洪建材有限公司开阳县冯三镇坪上砂石矿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贵州诗成建材贸易有限公司开阳县永温镇坤建诗成砂石矿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执法一科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开阳巨峰砂石有限公司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开阳县忠义砂石有限公司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开阳宏昌商贸有限责任公司砂石厂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开阳杰华建材有限公司开阳县坡头上砂石矿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贵州开阳恒万润农业发展有限公司开阳县龙岗镇把关砂石矿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贵州开阳经开产业投资发展有限公司开阳县青西村南瓜山砂石矿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贵州万国矿业有限公司开阳县马场镇三岔红粘土厂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贵州合盛鸿矿业有限公司开阳县花梨乡双兴磷矿</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非煤矿山</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贵州开阳三环磨料有限公司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贵州悦露食品有限公司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贵州惜缘商品混凝土有限公司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贵州菲尔特建材有限公司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贵州开阳通筑混凝土</w:t>
            </w:r>
            <w:bookmarkStart w:id="0" w:name="_GoBack"/>
            <w:bookmarkEnd w:id="0"/>
            <w:r>
              <w:rPr>
                <w:rFonts w:hint="eastAsia" w:ascii="仿宋" w:hAnsi="仿宋" w:eastAsia="仿宋" w:cs="仿宋"/>
                <w:color w:val="auto"/>
                <w:kern w:val="0"/>
                <w:sz w:val="24"/>
                <w:szCs w:val="24"/>
              </w:rPr>
              <w:t>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贵州馋解香食品开发有限公司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贵州开阳华兴油脂有限责任公司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贵州韶峰电力器材制品有限公司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开阳乾顺建材有限公司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开阳智科建材有限公司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开阳博大商砼建材有限公司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开磷机电设备有限公司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恒旺电杆</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开阳磷石膏厂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开阳科航建材</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开阳鸿发砖厂</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恒达硅建材</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贵州地宝生物科技有限公司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开阳宏东建材有限公司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执法三科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开阳浩洋环保科技开发有限公司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贵州磷发科技环保材料有限公司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贵州力均石膏有限公司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工贸行业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建设</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贵州开阳星星燃料有限责任公司花梨加油站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开阳真真燃料有限公司龙岗加油站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开磷（集团）有限责任公司物资公司金中分公司金中（2）站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中国石油天然气股份有限公司贵州销售分公司磷都加油站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开阳金龙加油站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中国石化销售有限公司贵州贵阳开阳石油公司西门加油站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中国石化销售有限公司贵州贵阳开阳石油公司花梨加油站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中国石化销售有限公司贵州贵阳开阳石油公司白泥坝加油站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中国石化销售有限公司贵州贵阳开阳石油公司冯三加油站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中国石化销售有限公司贵州贵阳开阳石油公司城北加油站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中国石化销售有限公司贵州贵阳开阳石油公司苏家坡加油站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中国石油天然气股份有限公司贵州销售分公司西门加油站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中国石化销售有限公司贵州贵阳开阳石油公司新城加油站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开阳县龙岗镇武平加油站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开阳县南江经贸发展有限公司楠木渡加油站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开阳县莆阳哨上加油站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中国石化销售有限公司贵州贵阳开阳石油公司黄柏井加油站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开阳县羊场洪宾加油站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中国石化销售有限公司贵州贵阳开阳石油公司贵开高速公路南江停车区加油站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开磷（集团）有限责任公司物资公司金中分公司金中（1）站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中国石化销售有限公司贵州贵阳开阳石油公司元宝山加油站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中国石化销售有限公司贵州贵阳开阳龙岗服务区加油1站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中国石化销售有限公司贵州贵阳开阳龙岗服务区加油2站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开阳县永温加油站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贵州开阳华泰实业有限公司高云加油站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开阳县丰源油业有限公司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中海油贵州销售有限公司开阳双流加油站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开阳县金阳加油站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74</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开阳龙行商贸有限公司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75</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贵州高速中石化能源有限责任公司尊贵扩容工程开阳加油壹站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76</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贵州高速中石化能源有限责任公司尊贵扩容工程开阳加油贰站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77</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中石化南龙加油站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78</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中石化东郊加油站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79</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南江经贸金中加油站</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加油站</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80</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贵州开阳高旺化工有限公司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经营</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81</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贵州林源得益环保科技有限责任公司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82</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贵州快联华恒化工有限公司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83</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神美科技公司</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化工行业</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rPr>
              <w:t>生产</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执法二科</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每季度</w:t>
            </w:r>
          </w:p>
        </w:tc>
        <w:tc>
          <w:tcPr>
            <w:tcW w:w="1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合计</w:t>
            </w:r>
          </w:p>
        </w:tc>
        <w:tc>
          <w:tcPr>
            <w:tcW w:w="858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83</w:t>
            </w:r>
            <w:r>
              <w:rPr>
                <w:rFonts w:hint="eastAsia" w:ascii="仿宋" w:hAnsi="仿宋" w:eastAsia="仿宋" w:cs="仿宋"/>
                <w:b/>
                <w:color w:val="000000"/>
                <w:kern w:val="0"/>
                <w:sz w:val="24"/>
                <w:szCs w:val="24"/>
                <w:lang w:bidi="ar"/>
              </w:rPr>
              <w:t>家</w:t>
            </w:r>
          </w:p>
        </w:tc>
      </w:tr>
      <w:tr>
        <w:tblPrEx>
          <w:tblCellMar>
            <w:top w:w="0" w:type="dxa"/>
            <w:left w:w="0" w:type="dxa"/>
            <w:bottom w:w="0" w:type="dxa"/>
            <w:right w:w="0" w:type="dxa"/>
          </w:tblCellMar>
        </w:tblPrEx>
        <w:trPr>
          <w:trHeight w:val="1285" w:hRule="atLeast"/>
        </w:trPr>
        <w:tc>
          <w:tcPr>
            <w:tcW w:w="9160" w:type="dxa"/>
            <w:gridSpan w:val="7"/>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注：全年度能保证完成检查一般企业采取随机抽查（含暗查暗访）等方式比例不低于30％。</w:t>
            </w:r>
            <w:r>
              <w:rPr>
                <w:rFonts w:hint="eastAsia" w:ascii="仿宋" w:hAnsi="仿宋" w:eastAsia="仿宋" w:cs="仿宋"/>
                <w:color w:val="000000"/>
                <w:kern w:val="0"/>
                <w:sz w:val="22"/>
                <w:lang w:bidi="ar"/>
              </w:rPr>
              <w:t>对未纳入计划的其他领域的企业，根据执法检查情况将纳入执法对象，实行全领域执法检查工作。</w:t>
            </w:r>
            <w:r>
              <w:rPr>
                <w:rFonts w:hint="eastAsia" w:ascii="仿宋" w:hAnsi="仿宋" w:eastAsia="仿宋" w:cs="仿宋"/>
                <w:color w:val="000000"/>
                <w:kern w:val="0"/>
                <w:sz w:val="24"/>
                <w:szCs w:val="24"/>
                <w:lang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WNkMWYyNzM0ODg5M2QzMGQxOTU1NjM0NmJjZjkifQ=="/>
  </w:docVars>
  <w:rsids>
    <w:rsidRoot w:val="00000000"/>
    <w:rsid w:val="19002FCC"/>
    <w:rsid w:val="26EB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color w:val="000000"/>
    </w:rPr>
  </w:style>
  <w:style w:type="paragraph" w:styleId="3">
    <w:name w:val="Normal (Web)"/>
    <w:basedOn w:val="1"/>
    <w:next w:val="4"/>
    <w:uiPriority w:val="0"/>
    <w:pPr>
      <w:spacing w:before="100" w:beforeAutospacing="1" w:after="100" w:afterAutospacing="1"/>
      <w:ind w:left="0" w:right="0"/>
      <w:jc w:val="left"/>
    </w:pPr>
    <w:rPr>
      <w:kern w:val="0"/>
      <w:sz w:val="24"/>
      <w:lang w:val="en-US" w:eastAsia="zh-CN"/>
    </w:rPr>
  </w:style>
  <w:style w:type="paragraph" w:styleId="4">
    <w:name w:val="index 9"/>
    <w:basedOn w:val="1"/>
    <w:next w:val="1"/>
    <w:qFormat/>
    <w:uiPriority w:val="0"/>
    <w:pPr>
      <w:ind w:left="336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2649</Words>
  <Characters>2728</Characters>
  <Lines>0</Lines>
  <Paragraphs>0</Paragraphs>
  <TotalTime>0</TotalTime>
  <ScaleCrop>false</ScaleCrop>
  <LinksUpToDate>false</LinksUpToDate>
  <CharactersWithSpaces>2730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2022-05-31T01:20:00Z</dcterms:created>
  <dc:creator>Administrator</dc:creator>
  <cp:lastModifiedBy>3.4</cp:lastModifiedBy>
  <dcterms:modified xsi:type="dcterms:W3CDTF">2022-09-15T06:21:26Z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0234770EEBD64C2D9F45095F117A44CA</vt:lpwstr>
  </property>
</Properties>
</file>