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46E68">
      <w:pPr>
        <w:rPr>
          <w:rFonts w:eastAsia="仿宋_GB2312"/>
          <w:color w:val="000000"/>
          <w:sz w:val="32"/>
        </w:rPr>
      </w:pPr>
    </w:p>
    <w:p w14:paraId="77A9786D">
      <w:pPr>
        <w:rPr>
          <w:rFonts w:eastAsia="仿宋_GB2312"/>
          <w:color w:val="000000"/>
          <w:sz w:val="32"/>
        </w:rPr>
      </w:pPr>
    </w:p>
    <w:p w14:paraId="4BE2E050">
      <w:pPr>
        <w:rPr>
          <w:rFonts w:eastAsia="仿宋_GB2312"/>
          <w:color w:val="000000"/>
          <w:sz w:val="32"/>
        </w:rPr>
      </w:pPr>
      <w:r>
        <w:rPr>
          <w:color w:val="000000"/>
        </w:rPr>
        <w:pict>
          <v:shape id="AutoShape 3" o:spid="_x0000_s1028" o:spt="136" type="#_x0000_t136" style="position:absolute;left:0pt;margin-left:1.4pt;margin-top:6.3pt;height:71.75pt;width:434.3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开阳县民族宗教事务局文件" style="font-family:方正小标宋简体;font-size:40pt;v-text-align:center;"/>
          </v:shape>
        </w:pict>
      </w:r>
    </w:p>
    <w:p w14:paraId="3CB4D247">
      <w:pPr>
        <w:rPr>
          <w:rFonts w:eastAsia="仿宋_GB2312"/>
          <w:color w:val="000000"/>
          <w:sz w:val="32"/>
        </w:rPr>
      </w:pPr>
    </w:p>
    <w:p w14:paraId="2F3C89DB">
      <w:pPr>
        <w:ind w:right="160"/>
        <w:rPr>
          <w:rFonts w:eastAsia="仿宋_GB2312"/>
          <w:color w:val="000000"/>
          <w:sz w:val="32"/>
        </w:rPr>
      </w:pPr>
    </w:p>
    <w:p w14:paraId="4378ADC4">
      <w:pPr>
        <w:ind w:right="160" w:firstLine="320" w:firstLineChars="100"/>
        <w:rPr>
          <w:rFonts w:hint="eastAsia" w:ascii="仿宋_GB2312" w:hAnsi="仿宋_GB2312" w:eastAsia="仿宋_GB2312" w:cs="仿宋_GB2312"/>
          <w:color w:val="000000"/>
          <w:sz w:val="32"/>
        </w:rPr>
      </w:pPr>
    </w:p>
    <w:p w14:paraId="76C1DCC0">
      <w:pPr>
        <w:ind w:right="160" w:firstLine="320" w:firstLineChars="100"/>
        <w:rPr>
          <w:rFonts w:eastAsia="仿宋_GB2312"/>
          <w:color w:val="000000"/>
          <w:kern w:val="15"/>
          <w:sz w:val="32"/>
          <w:szCs w:val="32"/>
        </w:rPr>
      </w:pPr>
      <w:r>
        <w:rPr>
          <w:rFonts w:hint="eastAsia" w:ascii="仿宋_GB2312" w:hAnsi="仿宋_GB2312" w:eastAsia="仿宋_GB2312" w:cs="仿宋_GB2312"/>
          <w:color w:val="000000"/>
          <w:sz w:val="32"/>
        </w:rPr>
        <w:t>开</w:t>
      </w:r>
      <w:r>
        <w:rPr>
          <w:rFonts w:hint="eastAsia" w:ascii="仿宋_GB2312" w:hAnsi="仿宋_GB2312" w:eastAsia="仿宋_GB2312" w:cs="仿宋_GB2312"/>
          <w:color w:val="000000"/>
          <w:sz w:val="32"/>
          <w:lang w:eastAsia="zh-CN"/>
        </w:rPr>
        <w:t>民宗</w:t>
      </w:r>
      <w:r>
        <w:rPr>
          <w:rFonts w:hint="eastAsia" w:ascii="仿宋_GB2312" w:hAnsi="仿宋_GB2312" w:eastAsia="仿宋_GB2312" w:cs="仿宋_GB2312"/>
          <w:color w:val="000000"/>
          <w:sz w:val="32"/>
        </w:rPr>
        <w:t>复</w:t>
      </w:r>
      <w:r>
        <w:rPr>
          <w:rFonts w:hint="eastAsia" w:ascii="仿宋_GB2312" w:hAnsi="仿宋_GB2312" w:eastAsia="仿宋_GB2312" w:cs="仿宋_GB2312"/>
          <w:color w:val="000000"/>
          <w:sz w:val="32"/>
          <w:lang w:eastAsia="zh-CN"/>
        </w:rPr>
        <w:t>字</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eastAsia="zh-CN"/>
        </w:rPr>
        <w:t>202</w:t>
      </w:r>
      <w:r>
        <w:rPr>
          <w:rFonts w:hint="eastAsia" w:ascii="仿宋_GB2312" w:hAnsi="仿宋_GB2312" w:eastAsia="仿宋_GB2312" w:cs="仿宋_GB2312"/>
          <w:color w:val="000000"/>
          <w:sz w:val="32"/>
          <w:lang w:val="en-US" w:eastAsia="zh-CN"/>
        </w:rPr>
        <w:t>5</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2</w:t>
      </w:r>
      <w:r>
        <w:rPr>
          <w:rFonts w:hint="eastAsia" w:ascii="仿宋_GB2312" w:hAnsi="仿宋_GB2312" w:eastAsia="仿宋_GB2312" w:cs="仿宋_GB2312"/>
          <w:color w:val="000000"/>
          <w:sz w:val="32"/>
        </w:rPr>
        <w:t xml:space="preserve">号     </w:t>
      </w:r>
      <w:r>
        <w:rPr>
          <w:rFonts w:hint="eastAsia" w:ascii="仿宋_GB2312" w:hAnsi="仿宋_GB2312" w:eastAsia="仿宋_GB2312" w:cs="仿宋_GB2312"/>
          <w:color w:val="000000"/>
          <w:sz w:val="32"/>
          <w:lang w:val="en-US" w:eastAsia="zh-CN"/>
        </w:rPr>
        <w:t xml:space="preserve"> </w:t>
      </w:r>
      <w:r>
        <w:rPr>
          <w:rFonts w:hint="eastAsia" w:ascii="仿宋_GB2312" w:hAnsi="仿宋_GB2312" w:eastAsia="仿宋_GB2312" w:cs="仿宋_GB2312"/>
          <w:color w:val="000000"/>
          <w:sz w:val="32"/>
        </w:rPr>
        <w:t xml:space="preserve">   </w:t>
      </w:r>
      <w:r>
        <w:rPr>
          <w:rFonts w:hint="eastAsia" w:ascii="仿宋_GB2312" w:hAnsi="仿宋_GB2312" w:eastAsia="仿宋_GB2312" w:cs="仿宋_GB2312"/>
          <w:color w:val="000000"/>
          <w:sz w:val="32"/>
          <w:lang w:val="en-US" w:eastAsia="zh-CN"/>
        </w:rPr>
        <w:t xml:space="preserve">        </w:t>
      </w:r>
      <w:r>
        <w:rPr>
          <w:rFonts w:hint="eastAsia" w:ascii="仿宋_GB2312" w:hAnsi="仿宋_GB2312" w:eastAsia="仿宋_GB2312" w:cs="仿宋_GB2312"/>
          <w:color w:val="000000"/>
          <w:sz w:val="32"/>
        </w:rPr>
        <w:t>签发人:</w:t>
      </w:r>
      <w:r>
        <w:rPr>
          <w:rFonts w:hint="eastAsia" w:ascii="楷体" w:hAnsi="楷体" w:eastAsia="楷体" w:cs="楷体"/>
          <w:color w:val="000000"/>
          <w:sz w:val="32"/>
          <w:lang w:eastAsia="zh-CN"/>
        </w:rPr>
        <w:t>蒋万强</w:t>
      </w:r>
      <w:r>
        <w:rPr>
          <w:rFonts w:hint="eastAsia" w:ascii="楷体" w:hAnsi="楷体" w:eastAsia="楷体" w:cs="楷体"/>
          <w:color w:val="000000"/>
          <w:sz w:val="32"/>
        </w:rPr>
        <w:t xml:space="preserve"> </w:t>
      </w:r>
    </w:p>
    <w:p w14:paraId="05AAAA60">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eastAsia="仿宋_GB2312"/>
          <w:color w:val="000000"/>
          <w:sz w:val="32"/>
        </w:rPr>
      </w:pPr>
      <w:r>
        <w:rPr>
          <w:rFonts w:eastAsia="方正小标宋简体"/>
          <w:color w:val="000000"/>
          <w:kern w:val="0"/>
          <w:sz w:val="44"/>
          <w:szCs w:val="44"/>
        </w:rPr>
        <mc:AlternateContent>
          <mc:Choice Requires="wps">
            <w:drawing>
              <wp:anchor distT="0" distB="0" distL="114300" distR="114300" simplePos="0" relativeHeight="251661312" behindDoc="0" locked="0" layoutInCell="1" allowOverlap="1">
                <wp:simplePos x="0" y="0"/>
                <wp:positionH relativeFrom="column">
                  <wp:posOffset>-74295</wp:posOffset>
                </wp:positionH>
                <wp:positionV relativeFrom="paragraph">
                  <wp:posOffset>1270</wp:posOffset>
                </wp:positionV>
                <wp:extent cx="5760085" cy="0"/>
                <wp:effectExtent l="0" t="17145" r="12065" b="20955"/>
                <wp:wrapNone/>
                <wp:docPr id="1" name="直接连接符 1"/>
                <wp:cNvGraphicFramePr/>
                <a:graphic xmlns:a="http://schemas.openxmlformats.org/drawingml/2006/main">
                  <a:graphicData uri="http://schemas.microsoft.com/office/word/2010/wordprocessingShape">
                    <wps:wsp>
                      <wps:cNvCnPr/>
                      <wps:spPr>
                        <a:xfrm>
                          <a:off x="0" y="0"/>
                          <a:ext cx="5760085" cy="0"/>
                        </a:xfrm>
                        <a:prstGeom prst="line">
                          <a:avLst/>
                        </a:prstGeom>
                        <a:ln w="349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85pt;margin-top:0.1pt;height:0pt;width:453.55pt;z-index:251661312;mso-width-relative:page;mso-height-relative:page;" filled="f" stroked="t" coordsize="21600,21600" o:gfxdata="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4JdQtcAAAAFAQAADwAAAAAAAAABACAAAAAiAAAAZHJzL2Rvd25yZXYu&#10;eG1sUEsBAhQAFAAAAAgAh07iQP3cHm78AQAA8wMAAA4AAAAAAAAAAQAgAAAAJgEAAGRycy9lMm9E&#10;b2MueG1sUEsFBgAAAAAGAAYAWQEAAJQFAAAAAA==&#10;">
                <v:fill on="f" focussize="0,0"/>
                <v:stroke weight="2.75pt" color="#FF0000" joinstyle="round"/>
                <v:imagedata o:title=""/>
                <o:lock v:ext="edit" aspectratio="f"/>
              </v:line>
            </w:pict>
          </mc:Fallback>
        </mc:AlternateContent>
      </w:r>
    </w:p>
    <w:p w14:paraId="1EB09BE6">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方正小标宋简体" w:hAnsi="方正小标宋简体" w:eastAsia="方正小标宋简体" w:cs="方正小标宋简体"/>
          <w:sz w:val="44"/>
          <w:szCs w:val="44"/>
        </w:rPr>
      </w:pPr>
    </w:p>
    <w:p w14:paraId="7304BD3C">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开阳县</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民族宗教事务局</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w:t>
      </w:r>
    </w:p>
    <w:p w14:paraId="1FD85281">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市级</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财政衔接推进乡村振兴（少数民族发展任务）补助资金项目实施方案的批复</w:t>
      </w:r>
    </w:p>
    <w:p w14:paraId="56B95FD1">
      <w:pPr>
        <w:spacing w:line="560" w:lineRule="exact"/>
        <w:ind w:firstLine="880" w:firstLineChars="200"/>
        <w:rPr>
          <w:rFonts w:eastAsia="方正小标宋简体"/>
          <w:color w:val="000000"/>
          <w:sz w:val="44"/>
          <w:szCs w:val="44"/>
        </w:rPr>
      </w:pPr>
    </w:p>
    <w:p w14:paraId="7F129CC9">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冯三镇、永温镇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龙岗镇、禾丰乡、高寨乡、米坪乡相关科室（中心）</w:t>
      </w:r>
      <w:r>
        <w:rPr>
          <w:rFonts w:hint="eastAsia" w:ascii="仿宋_GB2312" w:hAnsi="仿宋_GB2312" w:eastAsia="仿宋_GB2312" w:cs="仿宋_GB2312"/>
          <w:sz w:val="32"/>
          <w:szCs w:val="32"/>
        </w:rPr>
        <w:t>：</w:t>
      </w:r>
    </w:p>
    <w:p w14:paraId="321808BB">
      <w:pPr>
        <w:spacing w:line="560" w:lineRule="exact"/>
        <w:ind w:firstLine="640" w:firstLineChars="200"/>
        <w:rPr>
          <w:rFonts w:hint="eastAsia" w:ascii="仿宋_GB2312" w:hAnsi="仿宋_GB2312" w:eastAsia="仿宋_GB2312"/>
          <w:sz w:val="32"/>
          <w:szCs w:val="32"/>
          <w:lang w:eastAsia="zh-CN"/>
        </w:rPr>
      </w:pPr>
      <w:r>
        <w:rPr>
          <w:rFonts w:ascii="仿宋_GB2312" w:hAnsi="仿宋_GB2312" w:eastAsia="仿宋_GB2312"/>
          <w:color w:val="000000"/>
          <w:sz w:val="32"/>
          <w:szCs w:val="32"/>
        </w:rPr>
        <w:t>根据</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财政</w:t>
      </w:r>
      <w:r>
        <w:rPr>
          <w:rFonts w:hint="eastAsia" w:ascii="仿宋_GB2312" w:hAnsi="仿宋_GB2312" w:eastAsia="仿宋_GB2312" w:cs="仿宋_GB2312"/>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民宗委关于下达</w:t>
      </w: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年市级</w:t>
      </w:r>
      <w:r>
        <w:rPr>
          <w:rFonts w:hint="eastAsia" w:ascii="仿宋_GB2312" w:hAnsi="仿宋_GB2312" w:eastAsia="仿宋_GB2312" w:cs="仿宋_GB2312"/>
          <w:color w:val="000000" w:themeColor="text1"/>
          <w:sz w:val="32"/>
          <w:szCs w:val="32"/>
          <w14:textFill>
            <w14:solidFill>
              <w14:schemeClr w14:val="tx1"/>
            </w14:solidFill>
          </w14:textFill>
        </w:rPr>
        <w:t>财政衔接推进乡村振兴（少数民族发展任务）补助资金的通知》（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筑</w:t>
      </w:r>
      <w:r>
        <w:rPr>
          <w:rFonts w:hint="eastAsia" w:ascii="仿宋_GB2312" w:hAnsi="仿宋_GB2312" w:eastAsia="仿宋_GB2312" w:cs="仿宋_GB2312"/>
          <w:color w:val="000000" w:themeColor="text1"/>
          <w:sz w:val="32"/>
          <w:szCs w:val="32"/>
          <w14:textFill>
            <w14:solidFill>
              <w14:schemeClr w14:val="tx1"/>
            </w14:solidFill>
          </w14:textFill>
        </w:rPr>
        <w:t>财农〔202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文件</w:t>
      </w:r>
      <w:r>
        <w:rPr>
          <w:rFonts w:ascii="仿宋_GB2312" w:hAnsi="仿宋_GB2312" w:eastAsia="仿宋_GB2312"/>
          <w:color w:val="000000"/>
          <w:sz w:val="32"/>
          <w:szCs w:val="32"/>
        </w:rPr>
        <w:t>精神，</w:t>
      </w:r>
      <w:r>
        <w:rPr>
          <w:rFonts w:hint="eastAsia" w:ascii="仿宋_GB2312" w:hAnsi="仿宋_GB2312" w:eastAsia="仿宋_GB2312"/>
          <w:sz w:val="32"/>
          <w:szCs w:val="32"/>
        </w:rPr>
        <w:t>按照《</w:t>
      </w:r>
      <w:r>
        <w:rPr>
          <w:rFonts w:hint="eastAsia" w:ascii="仿宋_GB2312" w:hAnsi="仿宋_GB2312" w:eastAsia="仿宋_GB2312"/>
          <w:sz w:val="32"/>
          <w:szCs w:val="32"/>
          <w:lang w:eastAsia="zh-CN"/>
        </w:rPr>
        <w:t>中共</w:t>
      </w:r>
      <w:r>
        <w:rPr>
          <w:rFonts w:hint="eastAsia" w:ascii="仿宋_GB2312" w:hAnsi="仿宋_GB2312" w:eastAsia="仿宋_GB2312"/>
          <w:sz w:val="32"/>
          <w:szCs w:val="32"/>
        </w:rPr>
        <w:t>开阳县</w:t>
      </w:r>
      <w:r>
        <w:rPr>
          <w:rFonts w:hint="eastAsia" w:ascii="仿宋_GB2312" w:hAnsi="仿宋_GB2312" w:eastAsia="仿宋_GB2312"/>
          <w:sz w:val="32"/>
          <w:szCs w:val="32"/>
          <w:lang w:eastAsia="zh-CN"/>
        </w:rPr>
        <w:t>委农村</w:t>
      </w:r>
      <w:r>
        <w:rPr>
          <w:rFonts w:hint="eastAsia" w:ascii="仿宋_GB2312" w:hAnsi="仿宋_GB2312" w:eastAsia="仿宋_GB2312"/>
          <w:sz w:val="32"/>
          <w:szCs w:val="32"/>
        </w:rPr>
        <w:t>工作领导小组</w:t>
      </w:r>
      <w:r>
        <w:rPr>
          <w:rFonts w:hint="eastAsia" w:ascii="仿宋_GB2312" w:hAnsi="仿宋_GB2312" w:eastAsia="仿宋_GB2312"/>
          <w:sz w:val="32"/>
          <w:szCs w:val="32"/>
          <w:lang w:eastAsia="zh-CN"/>
        </w:rPr>
        <w:t>办公室</w:t>
      </w:r>
      <w:r>
        <w:rPr>
          <w:rFonts w:hint="eastAsia" w:ascii="仿宋_GB2312" w:hAnsi="仿宋_GB2312" w:eastAsia="仿宋_GB2312"/>
          <w:sz w:val="32"/>
          <w:szCs w:val="32"/>
        </w:rPr>
        <w:t>关于</w:t>
      </w:r>
      <w:r>
        <w:rPr>
          <w:rFonts w:hint="eastAsia" w:ascii="仿宋_GB2312" w:hAnsi="仿宋_GB2312" w:eastAsia="仿宋_GB2312"/>
          <w:sz w:val="32"/>
          <w:szCs w:val="32"/>
          <w:lang w:eastAsia="zh-CN"/>
        </w:rPr>
        <w:t>对</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市级</w:t>
      </w:r>
      <w:r>
        <w:rPr>
          <w:rFonts w:hint="eastAsia" w:ascii="仿宋_GB2312" w:hAnsi="仿宋_GB2312" w:eastAsia="仿宋_GB2312"/>
          <w:sz w:val="32"/>
          <w:szCs w:val="32"/>
        </w:rPr>
        <w:t>财政衔接推进乡村振兴（少数民族发展任务）补助资金项目立项的通知》（开</w:t>
      </w:r>
      <w:r>
        <w:rPr>
          <w:rFonts w:hint="eastAsia" w:ascii="仿宋_GB2312" w:hAnsi="仿宋_GB2312" w:eastAsia="仿宋_GB2312"/>
          <w:sz w:val="32"/>
          <w:szCs w:val="32"/>
          <w:lang w:eastAsia="zh-CN"/>
        </w:rPr>
        <w:t>农领办发</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17</w:t>
      </w:r>
      <w:r>
        <w:rPr>
          <w:rFonts w:hint="eastAsia" w:ascii="仿宋_GB2312" w:hAnsi="仿宋_GB2312" w:eastAsia="仿宋_GB2312"/>
          <w:sz w:val="32"/>
          <w:szCs w:val="32"/>
        </w:rPr>
        <w:t>号）文件要求，</w:t>
      </w:r>
      <w:r>
        <w:rPr>
          <w:rFonts w:hint="eastAsia" w:ascii="仿宋_GB2312" w:hAnsi="仿宋_GB2312" w:eastAsia="仿宋_GB2312"/>
          <w:color w:val="000000"/>
          <w:sz w:val="32"/>
          <w:szCs w:val="32"/>
          <w:lang w:eastAsia="zh-CN"/>
        </w:rPr>
        <w:t>你乡镇</w:t>
      </w:r>
      <w:r>
        <w:rPr>
          <w:rFonts w:hint="eastAsia" w:ascii="仿宋_GB2312" w:hAnsi="仿宋_GB2312" w:eastAsia="仿宋_GB2312"/>
          <w:color w:val="000000"/>
          <w:sz w:val="32"/>
          <w:szCs w:val="32"/>
        </w:rPr>
        <w:t>编制</w:t>
      </w:r>
      <w:r>
        <w:rPr>
          <w:rStyle w:val="17"/>
          <w:rFonts w:ascii="仿宋_GB2312" w:hAnsi="仿宋_GB2312" w:eastAsia="仿宋_GB2312"/>
          <w:sz w:val="32"/>
          <w:szCs w:val="32"/>
        </w:rPr>
        <w:t>上报的</w:t>
      </w:r>
      <w:r>
        <w:rPr>
          <w:rFonts w:ascii="仿宋_GB2312" w:hAnsi="仿宋_GB2312" w:eastAsia="仿宋_GB2312"/>
          <w:color w:val="000000"/>
          <w:sz w:val="32"/>
          <w:szCs w:val="32"/>
        </w:rPr>
        <w:t>项目实施方案</w:t>
      </w:r>
      <w:r>
        <w:rPr>
          <w:rFonts w:hint="eastAsia" w:ascii="仿宋_GB2312" w:hAnsi="仿宋_GB2312" w:eastAsia="仿宋_GB2312"/>
          <w:color w:val="000000"/>
          <w:sz w:val="32"/>
          <w:szCs w:val="32"/>
          <w:lang w:eastAsia="zh-CN"/>
        </w:rPr>
        <w:t>和相关资料</w:t>
      </w:r>
      <w:r>
        <w:rPr>
          <w:rFonts w:ascii="仿宋_GB2312" w:hAnsi="仿宋_GB2312" w:eastAsia="仿宋_GB2312"/>
          <w:color w:val="000000"/>
          <w:sz w:val="32"/>
          <w:szCs w:val="32"/>
        </w:rPr>
        <w:t>已</w:t>
      </w:r>
      <w:r>
        <w:rPr>
          <w:rFonts w:hint="eastAsia" w:ascii="仿宋_GB2312" w:hAnsi="仿宋_GB2312" w:eastAsia="仿宋_GB2312"/>
          <w:color w:val="000000"/>
          <w:sz w:val="32"/>
          <w:szCs w:val="32"/>
        </w:rPr>
        <w:t>收悉。</w:t>
      </w:r>
      <w:r>
        <w:rPr>
          <w:rFonts w:hint="eastAsia" w:ascii="仿宋_GB2312" w:hAnsi="仿宋_GB2312" w:eastAsia="仿宋_GB2312"/>
          <w:color w:val="000000"/>
          <w:sz w:val="32"/>
          <w:szCs w:val="32"/>
          <w:lang w:eastAsia="zh-CN"/>
        </w:rPr>
        <w:t>经组织行业部门相关技术人员评审，原则同意各乡镇报送的</w:t>
      </w:r>
      <w:r>
        <w:rPr>
          <w:rFonts w:hint="eastAsia" w:ascii="仿宋_GB2312" w:hAnsi="仿宋_GB2312" w:eastAsia="仿宋_GB2312"/>
          <w:color w:val="000000"/>
          <w:sz w:val="32"/>
          <w:szCs w:val="32"/>
          <w:lang w:val="en-US" w:eastAsia="zh-CN"/>
        </w:rPr>
        <w:t>7个项目实施方案。</w:t>
      </w:r>
      <w:r>
        <w:rPr>
          <w:rFonts w:ascii="仿宋_GB2312" w:hAnsi="仿宋_GB2312" w:eastAsia="仿宋_GB2312"/>
          <w:color w:val="000000"/>
          <w:sz w:val="32"/>
          <w:szCs w:val="32"/>
        </w:rPr>
        <w:t>现将</w:t>
      </w:r>
      <w:r>
        <w:rPr>
          <w:rFonts w:hint="eastAsia" w:ascii="仿宋_GB2312" w:hAnsi="仿宋_GB2312" w:eastAsia="仿宋_GB2312"/>
          <w:color w:val="000000"/>
          <w:sz w:val="32"/>
          <w:szCs w:val="32"/>
          <w:lang w:eastAsia="zh-CN"/>
        </w:rPr>
        <w:t>项目</w:t>
      </w:r>
      <w:r>
        <w:rPr>
          <w:rFonts w:ascii="仿宋_GB2312" w:hAnsi="仿宋_GB2312" w:eastAsia="仿宋_GB2312"/>
          <w:color w:val="000000"/>
          <w:sz w:val="32"/>
          <w:szCs w:val="32"/>
        </w:rPr>
        <w:t>批复如下</w:t>
      </w:r>
      <w:r>
        <w:rPr>
          <w:rFonts w:hint="eastAsia" w:ascii="仿宋_GB2312" w:hAnsi="仿宋_GB2312" w:eastAsia="仿宋_GB2312"/>
          <w:color w:val="000000"/>
          <w:sz w:val="32"/>
          <w:szCs w:val="32"/>
          <w:lang w:eastAsia="zh-CN"/>
        </w:rPr>
        <w:t>：</w:t>
      </w:r>
    </w:p>
    <w:p w14:paraId="6797CDAA">
      <w:pPr>
        <w:spacing w:line="560" w:lineRule="exact"/>
        <w:ind w:firstLine="640" w:firstLineChars="200"/>
        <w:rPr>
          <w:rStyle w:val="17"/>
          <w:rFonts w:eastAsia="黑体"/>
          <w:sz w:val="32"/>
          <w:szCs w:val="32"/>
        </w:rPr>
      </w:pPr>
      <w:r>
        <w:rPr>
          <w:rStyle w:val="17"/>
          <w:rFonts w:hAnsi="黑体" w:eastAsia="黑体"/>
          <w:sz w:val="32"/>
          <w:szCs w:val="32"/>
        </w:rPr>
        <w:t>一、批复项目建设内容及资金</w:t>
      </w:r>
    </w:p>
    <w:p w14:paraId="26A45650">
      <w:pPr>
        <w:spacing w:line="560" w:lineRule="exact"/>
        <w:ind w:firstLine="640" w:firstLineChars="200"/>
        <w:rPr>
          <w:rStyle w:val="17"/>
          <w:rFonts w:eastAsia="仿宋_GB2312"/>
          <w:sz w:val="32"/>
          <w:szCs w:val="32"/>
        </w:rPr>
      </w:pPr>
      <w:r>
        <w:rPr>
          <w:rStyle w:val="17"/>
          <w:rFonts w:hint="eastAsia" w:ascii="仿宋_GB2312" w:hAnsi="仿宋_GB2312" w:eastAsia="仿宋_GB2312" w:cs="仿宋_GB2312"/>
          <w:sz w:val="32"/>
          <w:szCs w:val="32"/>
        </w:rPr>
        <w:t>本次批复</w:t>
      </w:r>
      <w:r>
        <w:rPr>
          <w:rStyle w:val="17"/>
          <w:rFonts w:hint="eastAsia" w:ascii="仿宋_GB2312" w:hAnsi="仿宋_GB2312" w:eastAsia="仿宋_GB2312" w:cs="仿宋_GB2312"/>
          <w:sz w:val="32"/>
          <w:szCs w:val="32"/>
          <w:lang w:eastAsia="zh-CN"/>
        </w:rPr>
        <w:t>项目实施方案资金</w:t>
      </w:r>
      <w:r>
        <w:rPr>
          <w:rStyle w:val="17"/>
          <w:rFonts w:hint="eastAsia" w:ascii="仿宋_GB2312" w:hAnsi="仿宋_GB2312" w:eastAsia="仿宋_GB2312" w:cs="仿宋_GB2312"/>
          <w:sz w:val="32"/>
          <w:szCs w:val="32"/>
          <w:lang w:val="en-US" w:eastAsia="zh-CN"/>
        </w:rPr>
        <w:t>224</w:t>
      </w:r>
      <w:r>
        <w:rPr>
          <w:rStyle w:val="17"/>
          <w:rFonts w:hint="eastAsia" w:ascii="仿宋_GB2312" w:hAnsi="仿宋_GB2312" w:eastAsia="仿宋_GB2312" w:cs="仿宋_GB2312"/>
          <w:sz w:val="32"/>
          <w:szCs w:val="32"/>
        </w:rPr>
        <w:t>万元，项目</w:t>
      </w:r>
      <w:r>
        <w:rPr>
          <w:rStyle w:val="17"/>
          <w:rFonts w:hint="eastAsia" w:ascii="仿宋_GB2312" w:hAnsi="仿宋_GB2312" w:eastAsia="仿宋_GB2312" w:cs="仿宋_GB2312"/>
          <w:sz w:val="32"/>
          <w:szCs w:val="32"/>
          <w:lang w:val="en-US" w:eastAsia="zh-CN"/>
        </w:rPr>
        <w:t>7</w:t>
      </w:r>
      <w:r>
        <w:rPr>
          <w:rStyle w:val="17"/>
          <w:rFonts w:hint="eastAsia" w:ascii="仿宋_GB2312" w:hAnsi="仿宋_GB2312" w:eastAsia="仿宋_GB2312" w:cs="仿宋_GB2312"/>
          <w:sz w:val="32"/>
          <w:szCs w:val="32"/>
        </w:rPr>
        <w:t>个（</w:t>
      </w:r>
      <w:r>
        <w:rPr>
          <w:rStyle w:val="17"/>
          <w:rFonts w:hint="eastAsia" w:ascii="仿宋_GB2312" w:hAnsi="仿宋_GB2312" w:eastAsia="仿宋_GB2312" w:cs="仿宋_GB2312"/>
          <w:sz w:val="32"/>
          <w:szCs w:val="32"/>
          <w:lang w:eastAsia="zh-CN"/>
        </w:rPr>
        <w:t>详见</w:t>
      </w:r>
      <w:r>
        <w:rPr>
          <w:rStyle w:val="17"/>
          <w:rFonts w:hint="eastAsia" w:ascii="仿宋_GB2312" w:hAnsi="仿宋_GB2312" w:eastAsia="仿宋_GB2312" w:cs="仿宋_GB2312"/>
          <w:sz w:val="32"/>
          <w:szCs w:val="32"/>
        </w:rPr>
        <w:t>附件）。</w:t>
      </w:r>
    </w:p>
    <w:p w14:paraId="1E2ACB6A">
      <w:pPr>
        <w:spacing w:line="560" w:lineRule="exact"/>
        <w:ind w:firstLine="640" w:firstLineChars="200"/>
        <w:rPr>
          <w:rFonts w:ascii="黑体" w:hAnsi="黑体" w:eastAsia="黑体" w:cs="黑体"/>
          <w:color w:val="000000"/>
          <w:sz w:val="32"/>
          <w:szCs w:val="32"/>
        </w:rPr>
      </w:pPr>
      <w:r>
        <w:rPr>
          <w:rStyle w:val="17"/>
          <w:rFonts w:hint="eastAsia" w:ascii="黑体" w:hAnsi="黑体" w:eastAsia="黑体" w:cs="黑体"/>
          <w:sz w:val="32"/>
          <w:szCs w:val="32"/>
        </w:rPr>
        <w:t>二、加强</w:t>
      </w:r>
      <w:r>
        <w:rPr>
          <w:rFonts w:hint="eastAsia" w:ascii="黑体" w:hAnsi="黑体" w:eastAsia="黑体" w:cs="黑体"/>
          <w:color w:val="000000"/>
          <w:sz w:val="32"/>
          <w:szCs w:val="32"/>
        </w:rPr>
        <w:t>资金管理</w:t>
      </w:r>
    </w:p>
    <w:p w14:paraId="676DE42F">
      <w:pPr>
        <w:spacing w:line="560" w:lineRule="exact"/>
        <w:ind w:firstLine="640" w:firstLineChars="200"/>
        <w:rPr>
          <w:rFonts w:eastAsia="仿宋_GB2312"/>
          <w:color w:val="000000"/>
          <w:sz w:val="32"/>
          <w:szCs w:val="32"/>
        </w:rPr>
      </w:pPr>
      <w:r>
        <w:rPr>
          <w:rFonts w:hint="eastAsia" w:ascii="仿宋_GB2312" w:hAnsi="仿宋_GB2312" w:eastAsia="仿宋_GB2312" w:cs="仿宋_GB2312"/>
          <w:color w:val="000000"/>
          <w:sz w:val="32"/>
          <w:szCs w:val="32"/>
        </w:rPr>
        <w:t>项目实施单位严格按照</w:t>
      </w:r>
      <w:r>
        <w:rPr>
          <w:rFonts w:hint="eastAsia" w:ascii="仿宋_GB2312" w:hAnsi="仿宋_GB2312" w:eastAsia="仿宋_GB2312" w:cs="仿宋_GB2312"/>
          <w:sz w:val="32"/>
          <w:szCs w:val="32"/>
        </w:rPr>
        <w:t>《中央财政衔接推进乡村振兴补助资金管理办法》（财农〔2021〕19）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《贵州省财政衔接推进乡村振兴补助资金管理办法》（黔财农〔2021〕115）</w:t>
      </w:r>
      <w:r>
        <w:rPr>
          <w:rFonts w:hint="eastAsia" w:ascii="仿宋_GB2312" w:hAnsi="仿宋_GB2312" w:eastAsia="仿宋_GB2312" w:cs="仿宋_GB2312"/>
          <w:sz w:val="32"/>
          <w:szCs w:val="32"/>
          <w:lang w:eastAsia="zh-CN"/>
        </w:rPr>
        <w:t>文件规定</w:t>
      </w:r>
      <w:r>
        <w:rPr>
          <w:rFonts w:hint="eastAsia" w:ascii="仿宋_GB2312" w:hAnsi="仿宋_GB2312" w:eastAsia="仿宋_GB2312" w:cs="仿宋_GB2312"/>
          <w:color w:val="000000"/>
          <w:sz w:val="32"/>
          <w:szCs w:val="32"/>
        </w:rPr>
        <w:t>，加强资金和项目管理，积极做好资金与项目的衔接工作，进一步加大资金监管力度，切实提高资金使用效益，严格实行“三专”管理，严禁挤占、截留、挪用和贪污，并自觉接受监察、审计、财政、扶贫等有关部门的监督、审计和检查。</w:t>
      </w:r>
      <w:r>
        <w:rPr>
          <w:rFonts w:eastAsia="仿宋_GB2312"/>
          <w:color w:val="000000"/>
          <w:sz w:val="32"/>
          <w:szCs w:val="32"/>
        </w:rPr>
        <w:t>对项目规划和资金使用情况进行公示，接受群众监督，确保财政专项扶贫资金正常运转、发挥效益。</w:t>
      </w:r>
    </w:p>
    <w:p w14:paraId="161EE812">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三、加强项目实施管理</w:t>
      </w:r>
    </w:p>
    <w:p w14:paraId="3C5DCDCC">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（一）规范项目实施。</w:t>
      </w:r>
      <w:r>
        <w:rPr>
          <w:rFonts w:hint="eastAsia" w:ascii="仿宋_GB2312" w:hAnsi="仿宋_GB2312" w:eastAsia="仿宋_GB2312" w:cs="仿宋_GB2312"/>
          <w:sz w:val="32"/>
          <w:szCs w:val="32"/>
        </w:rPr>
        <w:t>项目实施方案批复后，项目实施单位必须严格按照项目实施方案明确的进度立即组织实施。要严格按照</w:t>
      </w:r>
      <w:r>
        <w:rPr>
          <w:rFonts w:hint="eastAsia" w:ascii="仿宋_GB2312" w:hAnsi="仿宋_GB2312" w:eastAsia="仿宋_GB2312" w:cs="仿宋_GB2312"/>
          <w:sz w:val="32"/>
          <w:szCs w:val="32"/>
          <w:lang w:eastAsia="zh-CN"/>
        </w:rPr>
        <w:t>《贵州省财政衔接推进乡村振兴补助资金项目暂行管理办法》（黔财农〔</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115号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有关规定执行，对照批复的建设规模、建设地点、受益农户</w:t>
      </w:r>
      <w:r>
        <w:rPr>
          <w:rFonts w:hint="eastAsia" w:ascii="仿宋_GB2312" w:hAnsi="仿宋_GB2312" w:eastAsia="仿宋_GB2312" w:cs="仿宋_GB2312"/>
          <w:color w:val="000000"/>
          <w:sz w:val="32"/>
          <w:szCs w:val="32"/>
        </w:rPr>
        <w:t>等内容，不得擅自变更或调整，更不能随意改项，确保项目实施质量和资金使用效益。如有特殊原因确需调项的，须按规定程序报备报批。</w:t>
      </w:r>
    </w:p>
    <w:p w14:paraId="06D7F117">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（二）严格执行项目公告公示制度。</w:t>
      </w:r>
      <w:r>
        <w:rPr>
          <w:rStyle w:val="17"/>
          <w:rFonts w:hint="eastAsia" w:ascii="仿宋_GB2312" w:hAnsi="仿宋_GB2312" w:eastAsia="仿宋_GB2312" w:cs="仿宋_GB2312"/>
          <w:sz w:val="32"/>
          <w:szCs w:val="32"/>
        </w:rPr>
        <w:t>项目实施单位要按照《国务院扶贫办、财政部印发关于完善扶贫资金项目公告公示制度的指导意见的通知》(国开办发〔2018〕11号)</w:t>
      </w:r>
      <w:r>
        <w:rPr>
          <w:rStyle w:val="17"/>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《贵州省扶贫办 贵州省财政厅印发关于完善扶贫资金项目公告公示制度的实施意见的通知》（黔扶通〔2018〕26号）</w:t>
      </w:r>
      <w:r>
        <w:rPr>
          <w:rStyle w:val="17"/>
          <w:rFonts w:hint="eastAsia" w:ascii="仿宋_GB2312" w:hAnsi="仿宋_GB2312" w:eastAsia="仿宋_GB2312" w:cs="仿宋_GB2312"/>
          <w:sz w:val="32"/>
          <w:szCs w:val="32"/>
        </w:rPr>
        <w:t>文件要求，切实做好项目的公告公示</w:t>
      </w:r>
      <w:r>
        <w:rPr>
          <w:rFonts w:hint="eastAsia" w:ascii="仿宋_GB2312" w:hAnsi="仿宋_GB2312" w:eastAsia="仿宋_GB2312" w:cs="仿宋_GB2312"/>
          <w:sz w:val="32"/>
          <w:szCs w:val="32"/>
        </w:rPr>
        <w:t>，自觉接受社会和群众监督。</w:t>
      </w:r>
    </w:p>
    <w:p w14:paraId="0140C310">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（三）严格</w:t>
      </w:r>
      <w:r>
        <w:rPr>
          <w:rFonts w:hint="eastAsia" w:ascii="楷体_GB2312" w:hAnsi="楷体_GB2312" w:eastAsia="楷体_GB2312" w:cs="楷体_GB2312"/>
          <w:sz w:val="32"/>
          <w:szCs w:val="32"/>
        </w:rPr>
        <w:t>项目建设招投标及采购管理。</w:t>
      </w:r>
      <w:r>
        <w:rPr>
          <w:rFonts w:hint="eastAsia" w:ascii="仿宋_GB2312" w:hAnsi="仿宋_GB2312" w:eastAsia="仿宋_GB2312" w:cs="仿宋_GB2312"/>
          <w:color w:val="000000"/>
          <w:sz w:val="32"/>
          <w:szCs w:val="32"/>
        </w:rPr>
        <w:t>项目实施和管理过程中有属于政府采购和招投标范围的事项，必须严格按照政府采购和招投标有关规定执行；未达到政府采购和招投标标准的，项目实施单位必须按照公开、公正、公平的原则，实行阳光操作。</w:t>
      </w:r>
    </w:p>
    <w:p w14:paraId="4E91CD05">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（四）加强项目调度。</w:t>
      </w:r>
      <w:r>
        <w:rPr>
          <w:rFonts w:hint="eastAsia" w:ascii="仿宋_GB2312" w:hAnsi="仿宋_GB2312" w:eastAsia="仿宋_GB2312" w:cs="仿宋_GB2312"/>
          <w:color w:val="000000"/>
          <w:sz w:val="32"/>
          <w:szCs w:val="32"/>
          <w:lang w:eastAsia="zh-CN"/>
        </w:rPr>
        <w:t>项目实施单位须按项目实施方案落实党政一把手负责制，组建项目专班，明确专人负责，及时按程序组织项目实施，并按相关时间要求上报实施进度和报账进度。</w:t>
      </w:r>
      <w:r>
        <w:rPr>
          <w:rFonts w:hint="eastAsia" w:ascii="仿宋_GB2312" w:hAnsi="仿宋_GB2312" w:eastAsia="仿宋_GB2312" w:cs="仿宋_GB2312"/>
          <w:color w:val="000000"/>
          <w:sz w:val="32"/>
          <w:szCs w:val="32"/>
          <w:lang w:val="en-US" w:eastAsia="zh-CN"/>
        </w:rPr>
        <w:t>4月、6月、9月、10月支出进度不得低于30%、60%、90%，100%，确保项目按时保质保量竣工验收</w:t>
      </w:r>
      <w:r>
        <w:rPr>
          <w:rFonts w:hint="eastAsia" w:ascii="仿宋_GB2312" w:hAnsi="仿宋_GB2312" w:eastAsia="仿宋_GB2312" w:cs="仿宋_GB2312"/>
          <w:color w:val="000000"/>
          <w:sz w:val="32"/>
          <w:szCs w:val="32"/>
        </w:rPr>
        <w:t>。</w:t>
      </w:r>
    </w:p>
    <w:p w14:paraId="285E8CD8">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w:t>
      </w:r>
      <w:r>
        <w:rPr>
          <w:rFonts w:hint="eastAsia" w:ascii="楷体_GB2312" w:hAnsi="楷体_GB2312" w:eastAsia="楷体_GB2312" w:cs="楷体_GB2312"/>
          <w:color w:val="000000"/>
          <w:sz w:val="32"/>
          <w:szCs w:val="32"/>
        </w:rPr>
        <w:t>严格项目验收。</w:t>
      </w:r>
      <w:r>
        <w:rPr>
          <w:rFonts w:hint="eastAsia" w:ascii="仿宋_GB2312" w:hAnsi="仿宋_GB2312" w:eastAsia="仿宋_GB2312" w:cs="仿宋_GB2312"/>
          <w:sz w:val="32"/>
          <w:szCs w:val="32"/>
        </w:rPr>
        <w:t>项目实施单位必须做好隐蔽性工程的现场监管记录（图片）和阶段性验收工作。涉及隐蔽性工程部分务必做好阶段性验收工作及资料收集；涉及混凝土砼化标号和厚度，由各乡在与施工方项目实施合同中约定并督促其提供具有鉴定砼化标号资质单位出具检测报告，作为县级验收依据。项目实施完成后，由乡组织自查验收，自验合格后形成项目验收意见，并在10个工作日内，申请县级验收。</w:t>
      </w:r>
    </w:p>
    <w:p w14:paraId="05BF3A5C">
      <w:pPr>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（六）强化项目后续管护。</w:t>
      </w:r>
      <w:r>
        <w:rPr>
          <w:rFonts w:hint="eastAsia" w:ascii="仿宋_GB2312" w:hAnsi="仿宋_GB2312" w:eastAsia="仿宋_GB2312" w:cs="仿宋_GB2312"/>
          <w:color w:val="000000"/>
          <w:sz w:val="32"/>
          <w:szCs w:val="32"/>
        </w:rPr>
        <w:t>到户项目形成的资产为项目受益农户所有；非到户项目形成的固定资产为乡人民政府或项目受益村集体所有，项目建成后要作好产权移交，乡</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要指导制定项目后续管护措施，建立管护制度，明确管护人员、管护责任和相关权利义务。</w:t>
      </w:r>
    </w:p>
    <w:p w14:paraId="26560CE0">
      <w:pPr>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lang w:val="en-US" w:eastAsia="zh-CN"/>
        </w:rPr>
        <w:t>（七）优化资金衔接。</w:t>
      </w:r>
      <w:r>
        <w:rPr>
          <w:rFonts w:hint="eastAsia" w:ascii="仿宋_GB2312" w:hAnsi="仿宋_GB2312" w:eastAsia="仿宋_GB2312" w:cs="仿宋_GB2312"/>
          <w:color w:val="000000"/>
          <w:sz w:val="32"/>
          <w:szCs w:val="32"/>
          <w:lang w:val="en-US" w:eastAsia="zh-CN"/>
        </w:rPr>
        <w:t>坚持群众参与、扶志扶智。具体项目实施过程中，大力推广以工代赈方式实施财政衔接推进乡村振兴补助资金项目，并将农村劳动力劳务报酬占中央和省衔接资金的比例提高到20%，有条件的地方可在此基础上尽可能提高发放比例。</w:t>
      </w:r>
    </w:p>
    <w:p w14:paraId="1E96817A">
      <w:pPr>
        <w:spacing w:line="560" w:lineRule="exact"/>
        <w:ind w:firstLine="640" w:firstLineChars="200"/>
        <w:rPr>
          <w:rFonts w:ascii="黑体" w:hAnsi="黑体" w:eastAsia="黑体" w:cs="黑体"/>
          <w:sz w:val="32"/>
          <w:szCs w:val="32"/>
        </w:rPr>
      </w:pPr>
      <w:r>
        <w:rPr>
          <w:rStyle w:val="18"/>
          <w:rFonts w:hint="eastAsia" w:ascii="黑体" w:hAnsi="黑体" w:eastAsia="黑体" w:cs="黑体"/>
          <w:color w:val="000000"/>
          <w:sz w:val="32"/>
          <w:szCs w:val="32"/>
        </w:rPr>
        <w:t>四、</w:t>
      </w:r>
      <w:r>
        <w:rPr>
          <w:rFonts w:hint="eastAsia" w:ascii="黑体" w:hAnsi="黑体" w:eastAsia="黑体" w:cs="黑体"/>
          <w:sz w:val="32"/>
          <w:szCs w:val="32"/>
        </w:rPr>
        <w:t>加强信息系统和档案管理</w:t>
      </w:r>
    </w:p>
    <w:p w14:paraId="66DBA907">
      <w:pPr>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eastAsia="楷体_GB2312"/>
          <w:color w:val="000000"/>
          <w:sz w:val="32"/>
          <w:szCs w:val="32"/>
        </w:rPr>
        <w:t>（一）加强信息系统管理。</w:t>
      </w:r>
      <w:r>
        <w:rPr>
          <w:rFonts w:hint="eastAsia" w:ascii="仿宋_GB2312" w:hAnsi="仿宋_GB2312" w:eastAsia="仿宋_GB2312" w:cs="仿宋_GB2312"/>
          <w:sz w:val="32"/>
          <w:szCs w:val="32"/>
        </w:rPr>
        <w:t>各乡（镇、街道）</w:t>
      </w:r>
      <w:r>
        <w:rPr>
          <w:rFonts w:hint="eastAsia" w:ascii="仿宋_GB2312" w:hAnsi="仿宋_GB2312" w:eastAsia="仿宋_GB2312" w:cs="仿宋_GB2312"/>
          <w:color w:val="000000"/>
          <w:sz w:val="32"/>
          <w:szCs w:val="32"/>
        </w:rPr>
        <w:t>在项目方案批复后，必须将项目的相关信息录入全国防返贫监测信息系统。</w:t>
      </w:r>
    </w:p>
    <w:p w14:paraId="501DB443">
      <w:pPr>
        <w:spacing w:line="560" w:lineRule="exact"/>
        <w:ind w:firstLine="640" w:firstLineChars="200"/>
        <w:rPr>
          <w:rStyle w:val="17"/>
          <w:rFonts w:hint="eastAsia" w:ascii="仿宋_GB2312" w:eastAsia="仿宋_GB2312"/>
          <w:sz w:val="32"/>
          <w:szCs w:val="32"/>
        </w:rPr>
      </w:pPr>
      <w:r>
        <w:rPr>
          <w:rFonts w:hint="eastAsia" w:ascii="楷体_GB2312" w:eastAsia="楷体_GB2312"/>
          <w:color w:val="000000"/>
          <w:sz w:val="32"/>
          <w:szCs w:val="32"/>
        </w:rPr>
        <w:t>（二）加强项目档案管理。</w:t>
      </w:r>
      <w:r>
        <w:rPr>
          <w:rFonts w:hint="eastAsia" w:ascii="仿宋_GB2312" w:eastAsia="仿宋_GB2312"/>
          <w:color w:val="000000"/>
          <w:sz w:val="32"/>
          <w:szCs w:val="32"/>
        </w:rPr>
        <w:t>按照 “一项一档”原则，收集整理各种记录项目实施监管过程的文字、图表、账册、凭证和图片等进行装订归档，完整、准确的反映项目申报、审批、实施、监管验收和后续管护。</w:t>
      </w:r>
    </w:p>
    <w:p w14:paraId="5C9B3EBF">
      <w:pPr>
        <w:spacing w:line="560" w:lineRule="exact"/>
        <w:ind w:firstLine="640" w:firstLineChars="200"/>
        <w:rPr>
          <w:rStyle w:val="17"/>
          <w:rFonts w:eastAsia="仿宋_GB2312"/>
          <w:sz w:val="32"/>
          <w:szCs w:val="32"/>
        </w:rPr>
      </w:pPr>
    </w:p>
    <w:p w14:paraId="7A3655BA">
      <w:pPr>
        <w:spacing w:line="560" w:lineRule="exact"/>
        <w:ind w:left="1598" w:leftChars="304" w:hanging="960" w:hangingChars="300"/>
        <w:rPr>
          <w:rFonts w:hint="eastAsia" w:ascii="仿宋_GB2312" w:hAnsi="仿宋_GB2312" w:eastAsia="仿宋_GB2312" w:cs="仿宋_GB2312"/>
          <w:color w:val="000000"/>
          <w:sz w:val="32"/>
          <w:szCs w:val="32"/>
        </w:rPr>
      </w:pPr>
      <w:r>
        <w:rPr>
          <w:rStyle w:val="18"/>
          <w:rFonts w:hint="eastAsia" w:ascii="仿宋_GB2312" w:hAnsi="仿宋_GB2312" w:eastAsia="仿宋_GB2312" w:cs="仿宋_GB2312"/>
          <w:color w:val="000000"/>
          <w:sz w:val="32"/>
          <w:szCs w:val="32"/>
        </w:rPr>
        <w:t>附件</w:t>
      </w:r>
      <w:r>
        <w:rPr>
          <w:rStyle w:val="18"/>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rPr>
        <w:t>开阳县</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"http://xxgk.panxian.gov.cn/xxgk/jcms_files/jcms1/web1/site/zfxxgk/download/downfile.jsp?classid=0&amp;filename=1502110927181424003.xls"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年市级</w:t>
      </w:r>
      <w:r>
        <w:rPr>
          <w:rFonts w:hint="eastAsia" w:ascii="仿宋_GB2312" w:hAnsi="仿宋_GB2312" w:eastAsia="仿宋_GB2312" w:cs="仿宋_GB2312"/>
          <w:color w:val="000000"/>
          <w:sz w:val="32"/>
          <w:szCs w:val="32"/>
        </w:rPr>
        <w:t>财政衔接推进乡村振兴（少数民族发展任务）补助资金项目</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批复表</w:t>
      </w:r>
    </w:p>
    <w:p w14:paraId="59789B73">
      <w:pPr>
        <w:spacing w:line="560" w:lineRule="exact"/>
        <w:ind w:firstLine="640" w:firstLineChars="200"/>
        <w:rPr>
          <w:rFonts w:eastAsia="仿宋_GB2312"/>
          <w:color w:val="000000"/>
          <w:sz w:val="32"/>
          <w:szCs w:val="32"/>
        </w:rPr>
      </w:pPr>
    </w:p>
    <w:p w14:paraId="1D1ADD04">
      <w:pPr>
        <w:spacing w:line="560" w:lineRule="exact"/>
        <w:jc w:val="both"/>
        <w:rPr>
          <w:rFonts w:ascii="仿宋_GB2312" w:hAnsi="仿宋_GB2312" w:eastAsia="仿宋_GB2312" w:cs="仿宋_GB2312"/>
          <w:color w:val="000000"/>
          <w:sz w:val="32"/>
          <w:szCs w:val="32"/>
        </w:rPr>
      </w:pPr>
    </w:p>
    <w:p w14:paraId="50CF1FA8">
      <w:pPr>
        <w:tabs>
          <w:tab w:val="left" w:pos="7560"/>
        </w:tabs>
        <w:spacing w:line="5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日</w:t>
      </w:r>
    </w:p>
    <w:p w14:paraId="79D7AD09">
      <w:pP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14:paraId="369A9448">
      <w:pPr>
        <w:pStyle w:val="2"/>
        <w:sectPr>
          <w:headerReference r:id="rId3" w:type="default"/>
          <w:footerReference r:id="rId5" w:type="default"/>
          <w:headerReference r:id="rId4" w:type="even"/>
          <w:footerReference r:id="rId6" w:type="even"/>
          <w:pgSz w:w="11906" w:h="16838"/>
          <w:pgMar w:top="2098" w:right="1474" w:bottom="1984" w:left="1588" w:header="851" w:footer="1474" w:gutter="0"/>
          <w:pgNumType w:fmt="numberInDash"/>
          <w:cols w:space="0" w:num="1"/>
          <w:rtlGutter w:val="0"/>
          <w:docGrid w:type="lines" w:linePitch="312" w:charSpace="0"/>
        </w:sectPr>
      </w:pPr>
    </w:p>
    <w:tbl>
      <w:tblPr>
        <w:tblStyle w:val="7"/>
        <w:tblW w:w="14291" w:type="dxa"/>
        <w:tblInd w:w="-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7"/>
        <w:gridCol w:w="586"/>
        <w:gridCol w:w="464"/>
        <w:gridCol w:w="450"/>
        <w:gridCol w:w="491"/>
        <w:gridCol w:w="396"/>
        <w:gridCol w:w="395"/>
        <w:gridCol w:w="2414"/>
        <w:gridCol w:w="545"/>
        <w:gridCol w:w="709"/>
        <w:gridCol w:w="914"/>
        <w:gridCol w:w="710"/>
        <w:gridCol w:w="363"/>
        <w:gridCol w:w="400"/>
        <w:gridCol w:w="375"/>
        <w:gridCol w:w="456"/>
        <w:gridCol w:w="519"/>
        <w:gridCol w:w="681"/>
        <w:gridCol w:w="519"/>
        <w:gridCol w:w="600"/>
        <w:gridCol w:w="613"/>
        <w:gridCol w:w="491"/>
        <w:gridCol w:w="723"/>
      </w:tblGrid>
      <w:tr w14:paraId="7C5D9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4291" w:type="dxa"/>
            <w:gridSpan w:val="23"/>
            <w:tcBorders>
              <w:top w:val="nil"/>
              <w:left w:val="nil"/>
              <w:bottom w:val="nil"/>
              <w:right w:val="nil"/>
            </w:tcBorders>
            <w:shd w:val="clear" w:color="auto" w:fill="FFFFFF"/>
            <w:vAlign w:val="center"/>
          </w:tcPr>
          <w:p w14:paraId="7742B7B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w:t>
            </w:r>
          </w:p>
          <w:p w14:paraId="1FBD8D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开阳县2025年市级财政衔接推进乡村振兴（少数民族发展任务）</w:t>
            </w:r>
          </w:p>
          <w:p w14:paraId="6C5D94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补助资金项目批复表</w:t>
            </w:r>
          </w:p>
          <w:p w14:paraId="209DB9B4">
            <w:pPr>
              <w:widowControl/>
              <w:spacing w:line="240" w:lineRule="atLeast"/>
              <w:jc w:val="right"/>
            </w:pPr>
            <w:r>
              <w:rPr>
                <w:rFonts w:hint="eastAsia" w:ascii="黑体" w:hAnsi="黑体" w:eastAsia="黑体"/>
                <w:color w:val="000000"/>
                <w:szCs w:val="21"/>
              </w:rPr>
              <w:t>单位：万元/户/人</w:t>
            </w:r>
          </w:p>
        </w:tc>
      </w:tr>
      <w:tr w14:paraId="1250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225488">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31EC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（街道）</w:t>
            </w: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ECD7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项目名称</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07E1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项目类型</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6FBE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项目二级类型</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D89E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项目子类型</w:t>
            </w:r>
          </w:p>
        </w:tc>
        <w:tc>
          <w:tcPr>
            <w:tcW w:w="3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6652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实施地点</w:t>
            </w:r>
          </w:p>
        </w:tc>
        <w:tc>
          <w:tcPr>
            <w:tcW w:w="24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7C80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建设内容及规模</w:t>
            </w:r>
          </w:p>
        </w:tc>
        <w:tc>
          <w:tcPr>
            <w:tcW w:w="545" w:type="dxa"/>
            <w:vMerge w:val="restart"/>
            <w:tcBorders>
              <w:top w:val="single" w:color="000000" w:sz="4" w:space="0"/>
              <w:left w:val="single" w:color="000000" w:sz="4" w:space="0"/>
              <w:bottom w:val="nil"/>
              <w:right w:val="single" w:color="000000" w:sz="4" w:space="0"/>
            </w:tcBorders>
            <w:shd w:val="clear" w:color="auto" w:fill="FFFFFF"/>
            <w:vAlign w:val="center"/>
          </w:tcPr>
          <w:p w14:paraId="30EB7B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建设性质</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5839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项目投资</w:t>
            </w:r>
          </w:p>
        </w:tc>
        <w:tc>
          <w:tcPr>
            <w:tcW w:w="3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16C8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项目实施单位</w:t>
            </w: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7C40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责任人</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F776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行业主管部门</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1290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责任人</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D540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受益农户  (户)</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A081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受益农户(人)</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7CA1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脱贫农户  (户)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7A9B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脱贫农户(人)</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6162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监测农户  (户)</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C712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监测农户(人)</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EBFE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r>
      <w:tr w14:paraId="7AFAF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E69AB">
            <w:pPr>
              <w:jc w:val="center"/>
              <w:rPr>
                <w:rFonts w:hint="eastAsia" w:ascii="仿宋_GB2312" w:hAnsi="宋体" w:eastAsia="仿宋_GB2312" w:cs="仿宋_GB2312"/>
                <w:i w:val="0"/>
                <w:iCs w:val="0"/>
                <w:color w:val="000000"/>
                <w:sz w:val="24"/>
                <w:szCs w:val="24"/>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7F1DC">
            <w:pPr>
              <w:jc w:val="center"/>
              <w:rPr>
                <w:rFonts w:hint="eastAsia" w:ascii="仿宋_GB2312" w:hAnsi="宋体" w:eastAsia="仿宋_GB2312" w:cs="仿宋_GB2312"/>
                <w:i w:val="0"/>
                <w:iCs w:val="0"/>
                <w:color w:val="000000"/>
                <w:sz w:val="24"/>
                <w:szCs w:val="24"/>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AF02C">
            <w:pPr>
              <w:jc w:val="center"/>
              <w:rPr>
                <w:rFonts w:hint="eastAsia" w:ascii="仿宋_GB2312" w:hAnsi="宋体" w:eastAsia="仿宋_GB2312" w:cs="仿宋_GB2312"/>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CE750">
            <w:pPr>
              <w:jc w:val="center"/>
              <w:rPr>
                <w:rFonts w:hint="eastAsia" w:ascii="仿宋_GB2312" w:hAnsi="宋体" w:eastAsia="仿宋_GB2312" w:cs="仿宋_GB2312"/>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D031F">
            <w:pPr>
              <w:jc w:val="center"/>
              <w:rPr>
                <w:rFonts w:hint="eastAsia" w:ascii="仿宋_GB2312" w:hAnsi="宋体" w:eastAsia="仿宋_GB2312" w:cs="仿宋_GB2312"/>
                <w:i w:val="0"/>
                <w:iCs w:val="0"/>
                <w:color w:val="000000"/>
                <w:sz w:val="24"/>
                <w:szCs w:val="24"/>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D8CBD3">
            <w:pPr>
              <w:jc w:val="center"/>
              <w:rPr>
                <w:rFonts w:hint="eastAsia" w:ascii="仿宋_GB2312" w:hAnsi="宋体" w:eastAsia="仿宋_GB2312" w:cs="仿宋_GB2312"/>
                <w:i w:val="0"/>
                <w:iCs w:val="0"/>
                <w:color w:val="000000"/>
                <w:sz w:val="24"/>
                <w:szCs w:val="24"/>
                <w:u w:val="none"/>
              </w:rPr>
            </w:pPr>
          </w:p>
        </w:tc>
        <w:tc>
          <w:tcPr>
            <w:tcW w:w="3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71D7B">
            <w:pPr>
              <w:jc w:val="center"/>
              <w:rPr>
                <w:rFonts w:hint="eastAsia" w:ascii="仿宋_GB2312" w:hAnsi="宋体" w:eastAsia="仿宋_GB2312" w:cs="仿宋_GB2312"/>
                <w:i w:val="0"/>
                <w:iCs w:val="0"/>
                <w:color w:val="000000"/>
                <w:sz w:val="24"/>
                <w:szCs w:val="24"/>
                <w:u w:val="none"/>
              </w:rPr>
            </w:pPr>
          </w:p>
        </w:tc>
        <w:tc>
          <w:tcPr>
            <w:tcW w:w="2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DBDAE">
            <w:pPr>
              <w:jc w:val="center"/>
              <w:rPr>
                <w:rFonts w:hint="eastAsia" w:ascii="仿宋_GB2312" w:hAnsi="宋体" w:eastAsia="仿宋_GB2312" w:cs="仿宋_GB2312"/>
                <w:i w:val="0"/>
                <w:iCs w:val="0"/>
                <w:color w:val="000000"/>
                <w:sz w:val="24"/>
                <w:szCs w:val="24"/>
                <w:u w:val="none"/>
              </w:rPr>
            </w:pPr>
          </w:p>
        </w:tc>
        <w:tc>
          <w:tcPr>
            <w:tcW w:w="545" w:type="dxa"/>
            <w:vMerge w:val="continue"/>
            <w:tcBorders>
              <w:top w:val="single" w:color="000000" w:sz="4" w:space="0"/>
              <w:left w:val="single" w:color="000000" w:sz="4" w:space="0"/>
              <w:bottom w:val="nil"/>
              <w:right w:val="single" w:color="000000" w:sz="4" w:space="0"/>
            </w:tcBorders>
            <w:shd w:val="clear" w:color="auto" w:fill="FFFFFF"/>
            <w:vAlign w:val="center"/>
          </w:tcPr>
          <w:p w14:paraId="23AD8CB3">
            <w:pPr>
              <w:jc w:val="center"/>
              <w:rPr>
                <w:rFonts w:hint="eastAsia" w:ascii="仿宋_GB2312" w:hAnsi="宋体" w:eastAsia="仿宋_GB2312" w:cs="仿宋_GB2312"/>
                <w:i w:val="0"/>
                <w:iCs w:val="0"/>
                <w:color w:val="000000"/>
                <w:sz w:val="24"/>
                <w:szCs w:val="24"/>
                <w:u w:val="none"/>
              </w:rPr>
            </w:pPr>
          </w:p>
        </w:tc>
        <w:tc>
          <w:tcPr>
            <w:tcW w:w="709" w:type="dxa"/>
            <w:tcBorders>
              <w:top w:val="single" w:color="000000" w:sz="4" w:space="0"/>
              <w:left w:val="single" w:color="000000" w:sz="4" w:space="0"/>
              <w:bottom w:val="nil"/>
              <w:right w:val="single" w:color="000000" w:sz="4" w:space="0"/>
            </w:tcBorders>
            <w:shd w:val="clear" w:color="auto" w:fill="FFFFFF"/>
            <w:vAlign w:val="center"/>
          </w:tcPr>
          <w:p w14:paraId="3656BB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总投资</w:t>
            </w:r>
          </w:p>
        </w:tc>
        <w:tc>
          <w:tcPr>
            <w:tcW w:w="914" w:type="dxa"/>
            <w:tcBorders>
              <w:top w:val="single" w:color="000000" w:sz="4" w:space="0"/>
              <w:left w:val="single" w:color="000000" w:sz="4" w:space="0"/>
              <w:bottom w:val="nil"/>
              <w:right w:val="single" w:color="000000" w:sz="4" w:space="0"/>
            </w:tcBorders>
            <w:shd w:val="clear" w:color="auto" w:fill="FFFFFF"/>
            <w:vAlign w:val="center"/>
          </w:tcPr>
          <w:p w14:paraId="4321214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直接工程费用</w:t>
            </w:r>
          </w:p>
        </w:tc>
        <w:tc>
          <w:tcPr>
            <w:tcW w:w="710" w:type="dxa"/>
            <w:tcBorders>
              <w:top w:val="single" w:color="000000" w:sz="4" w:space="0"/>
              <w:left w:val="single" w:color="000000" w:sz="4" w:space="0"/>
              <w:bottom w:val="nil"/>
              <w:right w:val="single" w:color="000000" w:sz="4" w:space="0"/>
            </w:tcBorders>
            <w:shd w:val="clear" w:color="auto" w:fill="FFFFFF"/>
            <w:vAlign w:val="center"/>
          </w:tcPr>
          <w:p w14:paraId="78F2D3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独立费用</w:t>
            </w:r>
          </w:p>
        </w:tc>
        <w:tc>
          <w:tcPr>
            <w:tcW w:w="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E4E75">
            <w:pPr>
              <w:jc w:val="center"/>
              <w:rPr>
                <w:rFonts w:hint="eastAsia" w:ascii="仿宋_GB2312" w:hAnsi="宋体" w:eastAsia="仿宋_GB2312" w:cs="仿宋_GB2312"/>
                <w:i w:val="0"/>
                <w:iCs w:val="0"/>
                <w:color w:val="000000"/>
                <w:sz w:val="24"/>
                <w:szCs w:val="24"/>
                <w:u w:val="none"/>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79EB6">
            <w:pPr>
              <w:jc w:val="center"/>
              <w:rPr>
                <w:rFonts w:hint="eastAsia" w:ascii="仿宋_GB2312" w:hAnsi="宋体" w:eastAsia="仿宋_GB2312" w:cs="仿宋_GB2312"/>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08513">
            <w:pPr>
              <w:jc w:val="center"/>
              <w:rPr>
                <w:rFonts w:hint="eastAsia" w:ascii="仿宋_GB2312" w:hAnsi="宋体" w:eastAsia="仿宋_GB2312" w:cs="仿宋_GB2312"/>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58180">
            <w:pPr>
              <w:jc w:val="center"/>
              <w:rPr>
                <w:rFonts w:hint="eastAsia" w:ascii="仿宋_GB2312" w:hAnsi="宋体" w:eastAsia="仿宋_GB2312" w:cs="仿宋_GB2312"/>
                <w:i w:val="0"/>
                <w:iCs w:val="0"/>
                <w:color w:val="000000"/>
                <w:sz w:val="24"/>
                <w:szCs w:val="24"/>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78F32">
            <w:pPr>
              <w:jc w:val="center"/>
              <w:rPr>
                <w:rFonts w:hint="eastAsia" w:ascii="仿宋_GB2312" w:hAnsi="宋体" w:eastAsia="仿宋_GB2312" w:cs="仿宋_GB2312"/>
                <w:i w:val="0"/>
                <w:iCs w:val="0"/>
                <w:color w:val="000000"/>
                <w:sz w:val="24"/>
                <w:szCs w:val="24"/>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4778C">
            <w:pPr>
              <w:jc w:val="center"/>
              <w:rPr>
                <w:rFonts w:hint="eastAsia" w:ascii="仿宋_GB2312" w:hAnsi="宋体" w:eastAsia="仿宋_GB2312" w:cs="仿宋_GB2312"/>
                <w:i w:val="0"/>
                <w:iCs w:val="0"/>
                <w:color w:val="000000"/>
                <w:sz w:val="24"/>
                <w:szCs w:val="24"/>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40C6B">
            <w:pPr>
              <w:jc w:val="center"/>
              <w:rPr>
                <w:rFonts w:hint="eastAsia" w:ascii="仿宋_GB2312" w:hAnsi="宋体" w:eastAsia="仿宋_GB2312" w:cs="仿宋_GB2312"/>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5C7F1">
            <w:pPr>
              <w:jc w:val="center"/>
              <w:rPr>
                <w:rFonts w:hint="eastAsia" w:ascii="仿宋_GB2312" w:hAnsi="宋体" w:eastAsia="仿宋_GB2312" w:cs="仿宋_GB2312"/>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CA3D80">
            <w:pPr>
              <w:jc w:val="center"/>
              <w:rPr>
                <w:rFonts w:hint="eastAsia" w:ascii="仿宋_GB2312" w:hAnsi="宋体" w:eastAsia="仿宋_GB2312" w:cs="仿宋_GB2312"/>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B7C69">
            <w:pPr>
              <w:jc w:val="center"/>
              <w:rPr>
                <w:rFonts w:hint="eastAsia" w:ascii="仿宋_GB2312" w:hAnsi="宋体" w:eastAsia="仿宋_GB2312" w:cs="仿宋_GB2312"/>
                <w:i w:val="0"/>
                <w:iCs w:val="0"/>
                <w:color w:val="000000"/>
                <w:sz w:val="24"/>
                <w:szCs w:val="24"/>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42D7B">
            <w:pPr>
              <w:jc w:val="center"/>
              <w:rPr>
                <w:rFonts w:hint="eastAsia" w:ascii="仿宋_GB2312" w:hAnsi="宋体" w:eastAsia="仿宋_GB2312" w:cs="仿宋_GB2312"/>
                <w:i w:val="0"/>
                <w:iCs w:val="0"/>
                <w:color w:val="000000"/>
                <w:sz w:val="24"/>
                <w:szCs w:val="24"/>
                <w:u w:val="none"/>
              </w:rPr>
            </w:pPr>
          </w:p>
        </w:tc>
      </w:tr>
      <w:tr w14:paraId="506D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18"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8632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2C7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2"/>
                <w:szCs w:val="22"/>
                <w:u w:val="none"/>
                <w:lang w:val="en-US" w:eastAsia="zh-CN" w:bidi="ar"/>
              </w:rPr>
              <w:t>224</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7578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2"/>
                <w:szCs w:val="22"/>
                <w:u w:val="none"/>
                <w:lang w:val="en-US" w:eastAsia="zh-CN" w:bidi="ar"/>
              </w:rPr>
              <w:t>221.77</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6BA5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2.23</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2A1EC">
            <w:pPr>
              <w:jc w:val="center"/>
              <w:rPr>
                <w:rFonts w:hint="eastAsia" w:ascii="仿宋_GB2312" w:hAnsi="宋体" w:eastAsia="仿宋_GB2312" w:cs="仿宋_GB2312"/>
                <w:i w:val="0"/>
                <w:iCs w:val="0"/>
                <w:color w:val="000000"/>
                <w:sz w:val="24"/>
                <w:szCs w:val="24"/>
                <w:u w:val="none"/>
              </w:rPr>
            </w:pPr>
          </w:p>
        </w:tc>
        <w:tc>
          <w:tcPr>
            <w:tcW w:w="400" w:type="dxa"/>
            <w:tcBorders>
              <w:top w:val="nil"/>
              <w:left w:val="single" w:color="000000" w:sz="4" w:space="0"/>
              <w:bottom w:val="single" w:color="000000" w:sz="4" w:space="0"/>
              <w:right w:val="single" w:color="000000" w:sz="4" w:space="0"/>
            </w:tcBorders>
            <w:shd w:val="clear" w:color="auto" w:fill="FFFFFF"/>
            <w:vAlign w:val="center"/>
          </w:tcPr>
          <w:p w14:paraId="42311920">
            <w:pPr>
              <w:jc w:val="center"/>
              <w:rPr>
                <w:rFonts w:hint="eastAsia" w:ascii="仿宋_GB2312" w:hAnsi="宋体" w:eastAsia="仿宋_GB2312" w:cs="仿宋_GB2312"/>
                <w:i w:val="0"/>
                <w:iCs w:val="0"/>
                <w:color w:val="000000"/>
                <w:sz w:val="24"/>
                <w:szCs w:val="24"/>
                <w:u w:val="none"/>
              </w:rPr>
            </w:pPr>
          </w:p>
        </w:tc>
        <w:tc>
          <w:tcPr>
            <w:tcW w:w="375" w:type="dxa"/>
            <w:tcBorders>
              <w:top w:val="nil"/>
              <w:left w:val="single" w:color="000000" w:sz="4" w:space="0"/>
              <w:bottom w:val="single" w:color="000000" w:sz="4" w:space="0"/>
              <w:right w:val="single" w:color="000000" w:sz="4" w:space="0"/>
            </w:tcBorders>
            <w:shd w:val="clear" w:color="auto" w:fill="FFFFFF"/>
            <w:vAlign w:val="center"/>
          </w:tcPr>
          <w:p w14:paraId="40E0ACAD">
            <w:pPr>
              <w:jc w:val="center"/>
              <w:rPr>
                <w:rFonts w:hint="eastAsia" w:ascii="仿宋_GB2312" w:hAnsi="宋体" w:eastAsia="仿宋_GB2312" w:cs="仿宋_GB2312"/>
                <w:i w:val="0"/>
                <w:iCs w:val="0"/>
                <w:color w:val="000000"/>
                <w:sz w:val="24"/>
                <w:szCs w:val="24"/>
                <w:u w:val="none"/>
              </w:rPr>
            </w:pPr>
          </w:p>
        </w:tc>
        <w:tc>
          <w:tcPr>
            <w:tcW w:w="456" w:type="dxa"/>
            <w:tcBorders>
              <w:top w:val="nil"/>
              <w:left w:val="single" w:color="000000" w:sz="4" w:space="0"/>
              <w:bottom w:val="single" w:color="000000" w:sz="4" w:space="0"/>
              <w:right w:val="single" w:color="000000" w:sz="4" w:space="0"/>
            </w:tcBorders>
            <w:shd w:val="clear" w:color="auto" w:fill="FFFFFF"/>
            <w:vAlign w:val="center"/>
          </w:tcPr>
          <w:p w14:paraId="157EA784">
            <w:pPr>
              <w:jc w:val="center"/>
              <w:rPr>
                <w:rFonts w:hint="eastAsia" w:ascii="仿宋_GB2312" w:hAnsi="宋体" w:eastAsia="仿宋_GB2312" w:cs="仿宋_GB2312"/>
                <w:i w:val="0"/>
                <w:iCs w:val="0"/>
                <w:color w:val="000000"/>
                <w:sz w:val="24"/>
                <w:szCs w:val="24"/>
                <w:u w:val="none"/>
              </w:rPr>
            </w:pPr>
          </w:p>
        </w:tc>
        <w:tc>
          <w:tcPr>
            <w:tcW w:w="519" w:type="dxa"/>
            <w:tcBorders>
              <w:top w:val="nil"/>
              <w:left w:val="single" w:color="000000" w:sz="4" w:space="0"/>
              <w:bottom w:val="single" w:color="000000" w:sz="4" w:space="0"/>
              <w:right w:val="single" w:color="000000" w:sz="4" w:space="0"/>
            </w:tcBorders>
            <w:shd w:val="clear" w:color="auto" w:fill="FFFFFF"/>
            <w:vAlign w:val="center"/>
          </w:tcPr>
          <w:p w14:paraId="06374E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2"/>
                <w:szCs w:val="22"/>
                <w:u w:val="none"/>
                <w:lang w:val="en-US" w:eastAsia="zh-CN" w:bidi="ar"/>
              </w:rPr>
              <w:t>971</w:t>
            </w:r>
          </w:p>
        </w:tc>
        <w:tc>
          <w:tcPr>
            <w:tcW w:w="681" w:type="dxa"/>
            <w:tcBorders>
              <w:top w:val="nil"/>
              <w:left w:val="single" w:color="000000" w:sz="4" w:space="0"/>
              <w:bottom w:val="single" w:color="000000" w:sz="4" w:space="0"/>
              <w:right w:val="single" w:color="000000" w:sz="4" w:space="0"/>
            </w:tcBorders>
            <w:shd w:val="clear" w:color="auto" w:fill="FFFFFF"/>
            <w:vAlign w:val="center"/>
          </w:tcPr>
          <w:p w14:paraId="6E0376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2"/>
                <w:szCs w:val="22"/>
                <w:u w:val="none"/>
                <w:lang w:val="en-US" w:eastAsia="zh-CN" w:bidi="ar"/>
              </w:rPr>
              <w:t>3627</w:t>
            </w:r>
          </w:p>
        </w:tc>
        <w:tc>
          <w:tcPr>
            <w:tcW w:w="519" w:type="dxa"/>
            <w:tcBorders>
              <w:top w:val="nil"/>
              <w:left w:val="single" w:color="000000" w:sz="4" w:space="0"/>
              <w:bottom w:val="single" w:color="000000" w:sz="4" w:space="0"/>
              <w:right w:val="single" w:color="000000" w:sz="4" w:space="0"/>
            </w:tcBorders>
            <w:shd w:val="clear" w:color="auto" w:fill="FFFFFF"/>
            <w:vAlign w:val="center"/>
          </w:tcPr>
          <w:p w14:paraId="06F426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600" w:type="dxa"/>
            <w:tcBorders>
              <w:top w:val="nil"/>
              <w:left w:val="single" w:color="000000" w:sz="4" w:space="0"/>
              <w:bottom w:val="single" w:color="000000" w:sz="4" w:space="0"/>
              <w:right w:val="single" w:color="000000" w:sz="4" w:space="0"/>
            </w:tcBorders>
            <w:shd w:val="clear" w:color="auto" w:fill="FFFFFF"/>
            <w:vAlign w:val="center"/>
          </w:tcPr>
          <w:p w14:paraId="591649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2"/>
                <w:szCs w:val="22"/>
                <w:u w:val="none"/>
                <w:lang w:val="en-US" w:eastAsia="zh-CN" w:bidi="ar"/>
              </w:rPr>
              <w:t>122</w:t>
            </w:r>
          </w:p>
        </w:tc>
        <w:tc>
          <w:tcPr>
            <w:tcW w:w="613" w:type="dxa"/>
            <w:tcBorders>
              <w:top w:val="nil"/>
              <w:left w:val="single" w:color="000000" w:sz="4" w:space="0"/>
              <w:bottom w:val="single" w:color="000000" w:sz="4" w:space="0"/>
              <w:right w:val="single" w:color="000000" w:sz="4" w:space="0"/>
            </w:tcBorders>
            <w:shd w:val="clear" w:color="auto" w:fill="FFFFFF"/>
            <w:vAlign w:val="center"/>
          </w:tcPr>
          <w:p w14:paraId="46F61C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491" w:type="dxa"/>
            <w:tcBorders>
              <w:top w:val="nil"/>
              <w:left w:val="single" w:color="000000" w:sz="4" w:space="0"/>
              <w:bottom w:val="single" w:color="000000" w:sz="4" w:space="0"/>
              <w:right w:val="single" w:color="000000" w:sz="4" w:space="0"/>
            </w:tcBorders>
            <w:shd w:val="clear" w:color="auto" w:fill="FFFFFF"/>
            <w:vAlign w:val="center"/>
          </w:tcPr>
          <w:p w14:paraId="78A0A1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723" w:type="dxa"/>
            <w:tcBorders>
              <w:top w:val="nil"/>
              <w:left w:val="single" w:color="000000" w:sz="4" w:space="0"/>
              <w:bottom w:val="single" w:color="000000" w:sz="4" w:space="0"/>
              <w:right w:val="single" w:color="000000" w:sz="4" w:space="0"/>
            </w:tcBorders>
            <w:shd w:val="clear" w:color="auto" w:fill="FFFFFF"/>
            <w:vAlign w:val="center"/>
          </w:tcPr>
          <w:p w14:paraId="2F1DE0B6">
            <w:pPr>
              <w:jc w:val="center"/>
              <w:rPr>
                <w:rFonts w:hint="eastAsia" w:ascii="仿宋_GB2312" w:hAnsi="宋体" w:eastAsia="仿宋_GB2312" w:cs="仿宋_GB2312"/>
                <w:i w:val="0"/>
                <w:iCs w:val="0"/>
                <w:color w:val="000000"/>
                <w:sz w:val="24"/>
                <w:szCs w:val="24"/>
                <w:u w:val="none"/>
              </w:rPr>
            </w:pPr>
          </w:p>
        </w:tc>
      </w:tr>
      <w:tr w14:paraId="002C8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4" w:hRule="atLeast"/>
        </w:trPr>
        <w:tc>
          <w:tcPr>
            <w:tcW w:w="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8A05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168D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冯三镇</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6FF4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冯三镇辉黔村坡上田至青山组通组路硬化项目</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7F47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乡村建设行动</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BACB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农村基础设施</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BAA8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农村道路建设</w:t>
            </w:r>
          </w:p>
        </w:tc>
        <w:tc>
          <w:tcPr>
            <w:tcW w:w="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2F47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辉黔村</w:t>
            </w:r>
          </w:p>
        </w:tc>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AB1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辉黔村坡上田至青山组通组路硬化项目：新建通组路1600米，3.5米宽，5个错车道，厚0.15米，C25砼路面</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485D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新建</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0C39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45</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E320D">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44.55</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0A459">
            <w:pPr>
              <w:jc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0.45</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7E27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冯三镇人民政府</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2381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张海</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5783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开阳县民宗局</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69C1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蒋万强</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405C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130</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0B80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475</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8014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2440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BD70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8C71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A109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2025年县级十件实事（以工代赈）</w:t>
            </w:r>
          </w:p>
        </w:tc>
      </w:tr>
      <w:tr w14:paraId="3F78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1" w:hRule="atLeast"/>
        </w:trPr>
        <w:tc>
          <w:tcPr>
            <w:tcW w:w="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C441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7BCA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永温镇</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EBF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永温镇永亨村青山-落水洞防洪堤基础设施项目</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9DF0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乡村建设行动</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DBE6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农村基础设施</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B1B9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农村供水保障建设</w:t>
            </w:r>
          </w:p>
        </w:tc>
        <w:tc>
          <w:tcPr>
            <w:tcW w:w="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1A18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永亨村</w:t>
            </w:r>
          </w:p>
        </w:tc>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FBAA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青山-落水洞</w:t>
            </w:r>
          </w:p>
          <w:p w14:paraId="6D288A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450米主沟，宽1.8米宽，深1米，沟壁厚0.5米，采用浆砌石填筑，淤泥挖运350立方米，采用毛石进行换填。癞子洞田坝灌溉沟渠长650米，宽30cm，高30cm，采用水泥砂浆浇灌，覆盖中寨、大土、坪坝、塘坎、下寨、烟灯坡等6个村民小组。</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9A19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新建</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DB12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D58F6">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26.73</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53126">
            <w:pPr>
              <w:jc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0.27</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31DA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永温镇人民政府</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DE95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  胜</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4DC8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开阳县民宗局</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23EC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蒋万强</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B579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248</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43A5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1226</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C326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71EB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E20B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4AEA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E56DC">
            <w:pPr>
              <w:jc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以工代赈</w:t>
            </w:r>
          </w:p>
        </w:tc>
      </w:tr>
      <w:tr w14:paraId="66450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1" w:hRule="atLeast"/>
        </w:trPr>
        <w:tc>
          <w:tcPr>
            <w:tcW w:w="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D7D8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04A1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米坪乡</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316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米坪乡云湾村黄桃管护项目</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CBD0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产业发展</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10CB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新型农村集体经济发展项目</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7DAB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新型农村集体经济发展项目</w:t>
            </w:r>
          </w:p>
        </w:tc>
        <w:tc>
          <w:tcPr>
            <w:tcW w:w="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0440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云湾村</w:t>
            </w:r>
          </w:p>
        </w:tc>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B52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主要建设内容及规模：管护黄桃228亩（肥料采购），采购复合肥（氮磷钾含量15-15-15）13吨5.5万元。</w:t>
            </w:r>
            <w:bookmarkStart w:id="0" w:name="_GoBack"/>
            <w:bookmarkEnd w:id="0"/>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C08E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新建</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3F99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A29BA">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5.45</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E85BB">
            <w:pPr>
              <w:jc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0.05</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009A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米坪乡人民政府</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8CBE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  倩</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8E7B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开阳县民宗局</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7487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蒋万强</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83A74">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439</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301C5">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1373</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8011F">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C11C4">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70</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40B4D">
            <w:pPr>
              <w:jc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1C002">
            <w:pPr>
              <w:jc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11</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7E3E5">
            <w:pPr>
              <w:jc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以工代赈</w:t>
            </w:r>
          </w:p>
        </w:tc>
      </w:tr>
      <w:tr w14:paraId="5D8F9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2" w:hRule="atLeast"/>
        </w:trPr>
        <w:tc>
          <w:tcPr>
            <w:tcW w:w="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91DB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7CA8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禾丰乡</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340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禾丰乡田冲村路灯安装项目</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7C2B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乡村建设行动</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F939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公共照明设施</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47C0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农村照明建设</w:t>
            </w:r>
          </w:p>
        </w:tc>
        <w:tc>
          <w:tcPr>
            <w:tcW w:w="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9D9A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田冲村</w:t>
            </w:r>
          </w:p>
        </w:tc>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B86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采购太阳能路灯300盏安装在田冲村，主要用于村组道路照明。</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3155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新建</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477B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45</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20355">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44.55</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3784F">
            <w:pPr>
              <w:jc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0.45</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4B2F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禾丰乡人民政府</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865F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罗  迪</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781F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开阳县民宗局</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98E3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蒋万强</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A80C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180</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B88F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580</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6209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60EA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58</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96208">
            <w:pPr>
              <w:jc w:val="center"/>
              <w:rPr>
                <w:rFonts w:hint="eastAsia" w:ascii="仿宋_GB2312" w:hAnsi="仿宋_GB2312" w:eastAsia="仿宋_GB2312" w:cs="仿宋_GB2312"/>
                <w:i w:val="0"/>
                <w:iCs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9BCEA">
            <w:pPr>
              <w:jc w:val="center"/>
              <w:rPr>
                <w:rFonts w:hint="eastAsia" w:ascii="仿宋_GB2312" w:hAnsi="仿宋_GB2312" w:eastAsia="仿宋_GB2312" w:cs="仿宋_GB2312"/>
                <w:i w:val="0"/>
                <w:iCs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D1BF2">
            <w:pPr>
              <w:jc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以工代赈</w:t>
            </w:r>
          </w:p>
        </w:tc>
      </w:tr>
      <w:tr w14:paraId="1DBBA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7" w:hRule="atLeast"/>
        </w:trPr>
        <w:tc>
          <w:tcPr>
            <w:tcW w:w="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A805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D993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高寨乡</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973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高寨乡平寨村非遗产业化建设项目</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C15B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产业发展</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E1F1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新型农村集体经济发展项目</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B796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新型农村集体经济发展项目</w:t>
            </w:r>
          </w:p>
        </w:tc>
        <w:tc>
          <w:tcPr>
            <w:tcW w:w="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3718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平寨村</w:t>
            </w:r>
          </w:p>
        </w:tc>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CA2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修缮房屋40平方米，购买服饰10套，蜡染热熔炉10套，制作文创产品50件。</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EB8D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新建</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AE65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7DBD4">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9.9</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388B4">
            <w:pPr>
              <w:jc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0.1</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A0F9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高寨乡人民政府</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F285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许艳莉</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2232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开阳县民宗局</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FF80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蒋万强</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2140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12 </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4E15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31 </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C472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2 </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73BC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9 </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2798A">
            <w:pPr>
              <w:jc w:val="center"/>
              <w:rPr>
                <w:rFonts w:hint="eastAsia" w:ascii="仿宋_GB2312" w:hAnsi="仿宋_GB2312" w:eastAsia="仿宋_GB2312" w:cs="仿宋_GB2312"/>
                <w:i w:val="0"/>
                <w:iCs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4B80A">
            <w:pPr>
              <w:jc w:val="center"/>
              <w:rPr>
                <w:rFonts w:hint="eastAsia" w:ascii="仿宋_GB2312" w:hAnsi="仿宋_GB2312" w:eastAsia="仿宋_GB2312" w:cs="仿宋_GB2312"/>
                <w:i w:val="0"/>
                <w:iCs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D2223">
            <w:pPr>
              <w:jc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以工代赈</w:t>
            </w:r>
          </w:p>
        </w:tc>
      </w:tr>
      <w:tr w14:paraId="2BEA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7" w:hRule="atLeast"/>
        </w:trPr>
        <w:tc>
          <w:tcPr>
            <w:tcW w:w="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3D8C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D7A0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禾丰乡</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3DA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禾丰乡穿洞村饮水提升改造工程</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DE2A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乡村建设行动</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D837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农村基础设施</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07F6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农村供水保障建设</w:t>
            </w:r>
          </w:p>
        </w:tc>
        <w:tc>
          <w:tcPr>
            <w:tcW w:w="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20F4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穿洞村</w:t>
            </w:r>
          </w:p>
        </w:tc>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804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建设内容：维修引水钢管4.5km，新建配水管道PE100级dn50（1.6MPa）管300m，新建配水管道PE100级dn40（1.6MPa）管1800m，新建配水管道PE100级dn32（1.6MPa）管4220m，新建配水管道PE100级dn25（1.6MPa）管3100m，新建配水管道PE100级dn20（1.6MPa）管5870m。</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562C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新建</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665E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56</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A1E9F">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55.44</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0502C">
            <w:pPr>
              <w:jc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0.56</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6FC1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禾丰乡人民政府</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81F4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罗  迪</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F455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开阳县民宗局</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CCE2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蒋万强</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FC62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185 </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E8D8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532 </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11C5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10 </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50DE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37 </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7A48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1 </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B051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1 </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7A945">
            <w:pPr>
              <w:jc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以工代赈</w:t>
            </w:r>
          </w:p>
        </w:tc>
      </w:tr>
      <w:tr w14:paraId="156DD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8" w:hRule="atLeast"/>
        </w:trPr>
        <w:tc>
          <w:tcPr>
            <w:tcW w:w="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1630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A4DC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龙岗镇</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FB2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龙岗镇大荆村管网改造提升工程</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8A0E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乡村建设行动</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C8D2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农村基础设施</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70EA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农村供水保障建设</w:t>
            </w:r>
          </w:p>
        </w:tc>
        <w:tc>
          <w:tcPr>
            <w:tcW w:w="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EFF3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大荆村</w:t>
            </w:r>
          </w:p>
        </w:tc>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5B9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配水支管网11km</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A827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新建</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637A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35.5</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9613B">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35.15</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82E68">
            <w:pPr>
              <w:jc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0.35</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B753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龙岗镇人民政府</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7CEA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  扬</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B8FB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开阳县民宗局</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76BA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蒋万强</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02FA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594 </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5BBF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2484 </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03FE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5 </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301A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18 </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39E8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3 </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F911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13 </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E897F">
            <w:pPr>
              <w:jc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以工代赈</w:t>
            </w:r>
          </w:p>
        </w:tc>
      </w:tr>
    </w:tbl>
    <w:p w14:paraId="72EBFA89">
      <w:pPr>
        <w:pStyle w:val="2"/>
        <w:ind w:left="0" w:leftChars="0" w:firstLine="0" w:firstLineChars="0"/>
        <w:rPr>
          <w:rFonts w:hint="eastAsia"/>
        </w:rPr>
      </w:pPr>
    </w:p>
    <w:p w14:paraId="591839F5">
      <w:pPr>
        <w:widowControl/>
        <w:spacing w:line="240" w:lineRule="atLeast"/>
        <w:jc w:val="right"/>
        <w:rPr>
          <w:rFonts w:hint="eastAsia" w:ascii="黑体" w:hAnsi="黑体" w:eastAsia="黑体"/>
          <w:color w:val="000000"/>
          <w:szCs w:val="21"/>
        </w:rPr>
      </w:pPr>
    </w:p>
    <w:p w14:paraId="7F67457C">
      <w:pPr>
        <w:widowControl/>
        <w:spacing w:line="240" w:lineRule="atLeast"/>
        <w:jc w:val="right"/>
        <w:rPr>
          <w:rFonts w:hint="eastAsia" w:ascii="黑体" w:hAnsi="黑体" w:eastAsia="黑体"/>
          <w:color w:val="000000"/>
          <w:szCs w:val="21"/>
        </w:rPr>
      </w:pPr>
    </w:p>
    <w:p w14:paraId="3827CA9B">
      <w:pPr>
        <w:widowControl/>
        <w:spacing w:line="240" w:lineRule="atLeast"/>
        <w:jc w:val="right"/>
        <w:rPr>
          <w:rFonts w:hint="eastAsia" w:ascii="黑体" w:hAnsi="黑体" w:eastAsia="黑体"/>
          <w:color w:val="000000"/>
          <w:szCs w:val="21"/>
        </w:rPr>
      </w:pPr>
    </w:p>
    <w:p w14:paraId="15F8F789">
      <w:pPr>
        <w:widowControl/>
        <w:spacing w:line="240" w:lineRule="atLeast"/>
        <w:jc w:val="right"/>
        <w:rPr>
          <w:rFonts w:hint="eastAsia" w:ascii="黑体" w:hAnsi="黑体" w:eastAsia="黑体"/>
          <w:color w:val="000000"/>
          <w:szCs w:val="21"/>
        </w:rPr>
      </w:pPr>
    </w:p>
    <w:p w14:paraId="6938EEEC">
      <w:pPr>
        <w:widowControl/>
        <w:spacing w:line="240" w:lineRule="atLeast"/>
        <w:jc w:val="right"/>
        <w:rPr>
          <w:rFonts w:hint="eastAsia" w:ascii="仿宋_GB2312" w:eastAsia="仿宋_GB2312"/>
          <w:sz w:val="32"/>
          <w:szCs w:val="32"/>
          <w:lang w:eastAsia="zh-CN"/>
        </w:rPr>
      </w:pPr>
      <w:r>
        <w:rPr>
          <w:rFonts w:hint="eastAsia" w:ascii="黑体" w:hAnsi="黑体" w:eastAsia="黑体"/>
          <w:color w:val="000000"/>
          <w:szCs w:val="21"/>
        </w:rPr>
        <w:t xml:space="preserve">                                                                                         </w:t>
      </w:r>
      <w:r>
        <w:rPr>
          <w:rFonts w:hint="eastAsia" w:ascii="黑体" w:hAnsi="黑体" w:eastAsia="黑体"/>
          <w:color w:val="000000"/>
          <w:szCs w:val="21"/>
          <w:lang w:val="en-US" w:eastAsia="zh-CN"/>
        </w:rPr>
        <w:t xml:space="preserve">                  </w:t>
      </w:r>
    </w:p>
    <w:p w14:paraId="557F5224">
      <w:pPr>
        <w:widowControl/>
        <w:spacing w:line="240" w:lineRule="atLeast"/>
        <w:rPr>
          <w:rFonts w:hint="eastAsia" w:ascii="仿宋_GB2312" w:eastAsia="仿宋_GB2312"/>
          <w:sz w:val="32"/>
          <w:szCs w:val="32"/>
          <w:lang w:eastAsia="zh-CN"/>
        </w:rPr>
      </w:pPr>
    </w:p>
    <w:p w14:paraId="35B300C2">
      <w:pPr>
        <w:widowControl/>
        <w:spacing w:line="240" w:lineRule="atLeast"/>
        <w:rPr>
          <w:rFonts w:hint="eastAsia" w:ascii="仿宋_GB2312" w:eastAsia="仿宋_GB2312"/>
          <w:sz w:val="32"/>
          <w:szCs w:val="32"/>
          <w:lang w:eastAsia="zh-CN"/>
        </w:rPr>
      </w:pPr>
    </w:p>
    <w:p w14:paraId="6255F007">
      <w:pPr>
        <w:widowControl/>
        <w:spacing w:line="240" w:lineRule="atLeast"/>
        <w:rPr>
          <w:rFonts w:hint="eastAsia" w:ascii="仿宋_GB2312" w:eastAsia="仿宋_GB2312"/>
          <w:sz w:val="32"/>
          <w:szCs w:val="32"/>
          <w:lang w:eastAsia="zh-CN"/>
        </w:rPr>
        <w:sectPr>
          <w:pgSz w:w="16838" w:h="11906" w:orient="landscape"/>
          <w:pgMar w:top="1587" w:right="2098" w:bottom="1474" w:left="1984" w:header="851" w:footer="1474" w:gutter="0"/>
          <w:pgNumType w:fmt="numberInDash"/>
          <w:cols w:space="0" w:num="1"/>
          <w:rtlGutter w:val="0"/>
          <w:docGrid w:type="lines" w:linePitch="315" w:charSpace="0"/>
        </w:sectPr>
      </w:pPr>
    </w:p>
    <w:p w14:paraId="5F31AD29">
      <w:pPr>
        <w:pStyle w:val="2"/>
        <w:ind w:left="0" w:leftChars="0" w:firstLine="0" w:firstLineChars="0"/>
        <w:rPr>
          <w:rFonts w:hint="eastAsia"/>
          <w:lang w:eastAsia="zh-CN"/>
        </w:rPr>
      </w:pPr>
    </w:p>
    <w:p w14:paraId="7462838A">
      <w:pPr>
        <w:rPr>
          <w:rFonts w:hint="eastAsia"/>
          <w:lang w:eastAsia="zh-CN"/>
        </w:rPr>
      </w:pPr>
    </w:p>
    <w:p w14:paraId="77120220">
      <w:pPr>
        <w:pStyle w:val="2"/>
        <w:rPr>
          <w:rFonts w:hint="eastAsia"/>
          <w:lang w:eastAsia="zh-CN"/>
        </w:rPr>
      </w:pPr>
    </w:p>
    <w:p w14:paraId="2FDA0E4A">
      <w:pPr>
        <w:rPr>
          <w:rFonts w:hint="eastAsia"/>
          <w:lang w:eastAsia="zh-CN"/>
        </w:rPr>
      </w:pPr>
    </w:p>
    <w:p w14:paraId="67EE61E2">
      <w:pPr>
        <w:pStyle w:val="2"/>
        <w:rPr>
          <w:rFonts w:hint="eastAsia"/>
          <w:lang w:eastAsia="zh-CN"/>
        </w:rPr>
      </w:pPr>
    </w:p>
    <w:p w14:paraId="2DDE6366">
      <w:pPr>
        <w:rPr>
          <w:rFonts w:hint="eastAsia"/>
          <w:lang w:eastAsia="zh-CN"/>
        </w:rPr>
      </w:pPr>
    </w:p>
    <w:p w14:paraId="374A7F9E">
      <w:pPr>
        <w:pStyle w:val="2"/>
        <w:rPr>
          <w:rFonts w:hint="eastAsia"/>
          <w:lang w:eastAsia="zh-CN"/>
        </w:rPr>
      </w:pPr>
    </w:p>
    <w:p w14:paraId="40C7C022">
      <w:pPr>
        <w:rPr>
          <w:rFonts w:hint="eastAsia"/>
          <w:lang w:eastAsia="zh-CN"/>
        </w:rPr>
      </w:pPr>
    </w:p>
    <w:p w14:paraId="44B82840">
      <w:pPr>
        <w:pStyle w:val="2"/>
        <w:rPr>
          <w:rFonts w:hint="eastAsia"/>
          <w:lang w:eastAsia="zh-CN"/>
        </w:rPr>
      </w:pPr>
    </w:p>
    <w:p w14:paraId="2CBCCAA7">
      <w:pPr>
        <w:rPr>
          <w:rFonts w:hint="eastAsia"/>
          <w:lang w:eastAsia="zh-CN"/>
        </w:rPr>
      </w:pPr>
    </w:p>
    <w:p w14:paraId="0DE32C6E">
      <w:pPr>
        <w:pStyle w:val="2"/>
        <w:rPr>
          <w:rFonts w:hint="eastAsia"/>
          <w:lang w:eastAsia="zh-CN"/>
        </w:rPr>
      </w:pPr>
    </w:p>
    <w:p w14:paraId="35D761C7">
      <w:pPr>
        <w:rPr>
          <w:rFonts w:hint="eastAsia"/>
          <w:lang w:eastAsia="zh-CN"/>
        </w:rPr>
      </w:pPr>
    </w:p>
    <w:p w14:paraId="44DBCEE2">
      <w:pPr>
        <w:pStyle w:val="2"/>
        <w:rPr>
          <w:rFonts w:hint="eastAsia"/>
          <w:lang w:eastAsia="zh-CN"/>
        </w:rPr>
      </w:pPr>
    </w:p>
    <w:p w14:paraId="6E36A642">
      <w:pPr>
        <w:rPr>
          <w:rFonts w:hint="eastAsia"/>
          <w:lang w:eastAsia="zh-CN"/>
        </w:rPr>
      </w:pPr>
    </w:p>
    <w:p w14:paraId="2B0FD85D">
      <w:pPr>
        <w:pStyle w:val="2"/>
        <w:rPr>
          <w:rFonts w:hint="eastAsia"/>
          <w:lang w:eastAsia="zh-CN"/>
        </w:rPr>
      </w:pPr>
    </w:p>
    <w:p w14:paraId="4E47FF8C">
      <w:pPr>
        <w:rPr>
          <w:rFonts w:hint="eastAsia"/>
          <w:lang w:eastAsia="zh-CN"/>
        </w:rPr>
      </w:pPr>
    </w:p>
    <w:p w14:paraId="573ECE0D">
      <w:pPr>
        <w:pStyle w:val="2"/>
        <w:rPr>
          <w:rFonts w:hint="eastAsia"/>
          <w:lang w:eastAsia="zh-CN"/>
        </w:rPr>
      </w:pPr>
    </w:p>
    <w:p w14:paraId="7E09FD8A">
      <w:pPr>
        <w:rPr>
          <w:rFonts w:hint="eastAsia"/>
          <w:lang w:eastAsia="zh-CN"/>
        </w:rPr>
      </w:pPr>
    </w:p>
    <w:p w14:paraId="112CA941">
      <w:pPr>
        <w:pStyle w:val="2"/>
        <w:rPr>
          <w:rFonts w:hint="eastAsia"/>
          <w:lang w:eastAsia="zh-CN"/>
        </w:rPr>
      </w:pPr>
    </w:p>
    <w:p w14:paraId="6DCC5295">
      <w:pPr>
        <w:rPr>
          <w:rFonts w:hint="eastAsia"/>
          <w:lang w:eastAsia="zh-CN"/>
        </w:rPr>
      </w:pPr>
    </w:p>
    <w:p w14:paraId="10FE2550">
      <w:pPr>
        <w:pStyle w:val="2"/>
        <w:rPr>
          <w:rFonts w:hint="eastAsia"/>
          <w:lang w:eastAsia="zh-CN"/>
        </w:rPr>
      </w:pPr>
    </w:p>
    <w:p w14:paraId="3411BD4C">
      <w:pPr>
        <w:rPr>
          <w:rFonts w:hint="eastAsia"/>
          <w:lang w:eastAsia="zh-CN"/>
        </w:rPr>
      </w:pPr>
    </w:p>
    <w:p w14:paraId="588366F5">
      <w:pPr>
        <w:pStyle w:val="2"/>
        <w:rPr>
          <w:rFonts w:hint="eastAsia"/>
          <w:lang w:eastAsia="zh-CN"/>
        </w:rPr>
      </w:pPr>
    </w:p>
    <w:p w14:paraId="797B6C4A">
      <w:pPr>
        <w:rPr>
          <w:rFonts w:hint="eastAsia"/>
          <w:lang w:eastAsia="zh-CN"/>
        </w:rPr>
      </w:pPr>
    </w:p>
    <w:p w14:paraId="6817B14B">
      <w:pPr>
        <w:pStyle w:val="2"/>
        <w:rPr>
          <w:rFonts w:hint="eastAsia"/>
          <w:lang w:eastAsia="zh-CN"/>
        </w:rPr>
      </w:pPr>
    </w:p>
    <w:p w14:paraId="73E9C1A2">
      <w:pPr>
        <w:widowControl/>
        <w:spacing w:line="240" w:lineRule="atLeast"/>
        <w:rPr>
          <w:rFonts w:hint="eastAsia" w:ascii="仿宋_GB2312" w:eastAsia="仿宋_GB2312"/>
          <w:sz w:val="32"/>
          <w:szCs w:val="32"/>
          <w:lang w:eastAsia="zh-CN"/>
        </w:rPr>
      </w:pPr>
    </w:p>
    <w:p w14:paraId="50CE1EBF">
      <w:pPr>
        <w:widowControl/>
        <w:spacing w:line="240" w:lineRule="atLeast"/>
        <w:rPr>
          <w:rFonts w:hint="eastAsia" w:ascii="仿宋_GB2312" w:eastAsia="仿宋_GB2312"/>
          <w:sz w:val="32"/>
          <w:szCs w:val="32"/>
          <w:lang w:eastAsia="zh-CN"/>
        </w:rPr>
      </w:pPr>
    </w:p>
    <w:p w14:paraId="6C239149">
      <w:pPr>
        <w:widowControl/>
        <w:spacing w:line="240" w:lineRule="atLeast"/>
        <w:rPr>
          <w:rFonts w:hint="eastAsia" w:ascii="仿宋_GB2312" w:eastAsia="仿宋_GB2312"/>
          <w:sz w:val="32"/>
          <w:szCs w:val="32"/>
          <w:lang w:eastAsia="zh-CN"/>
        </w:rPr>
      </w:pPr>
    </w:p>
    <w:p w14:paraId="4563C063">
      <w:pPr>
        <w:spacing w:line="560" w:lineRule="exact"/>
        <w:rPr>
          <w:rFonts w:hint="eastAsia" w:ascii="仿宋_GB2312" w:eastAsia="仿宋_GB2312"/>
          <w:color w:val="000000"/>
          <w:sz w:val="32"/>
          <w:szCs w:val="32"/>
        </w:rPr>
      </w:pPr>
      <w:r>
        <w:rPr>
          <w:rFonts w:hint="eastAsia" w:ascii="仿宋_GB2312" w:eastAsia="仿宋_GB2312" w:cs="仿宋_GB2312"/>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353060</wp:posOffset>
                </wp:positionV>
                <wp:extent cx="5615940" cy="0"/>
                <wp:effectExtent l="0" t="0" r="0" b="0"/>
                <wp:wrapNone/>
                <wp:docPr id="2" name="直线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27.8pt;height:0pt;width:442.2pt;z-index:251663360;mso-width-relative:page;mso-height-relative:page;" filled="f" stroked="t" coordsize="21600,21600" o:gfxdata="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8rQhtYA&#10;AAAGAQAADwAAAAAAAAABACAAAAAiAAAAZHJzL2Rvd25yZXYueG1sUEsBAhQAFAAAAAgAh07iQPS3&#10;4FXoAQAA3AMAAA4AAAAAAAAAAQAgAAAAJQEAAGRycy9lMm9Eb2MueG1sUEsFBgAAAAAGAAYAWQEA&#10;AH8FAAAAAA==&#10;">
                <v:fill on="f" focussize="0,0"/>
                <v:stroke weight="1pt" color="#000000" joinstyle="round"/>
                <v:imagedata o:title=""/>
                <o:lock v:ext="edit" aspectratio="f"/>
              </v:line>
            </w:pict>
          </mc:Fallback>
        </mc:AlternateContent>
      </w:r>
    </w:p>
    <w:p w14:paraId="240D7366">
      <w:pPr>
        <w:spacing w:line="540" w:lineRule="exact"/>
        <w:ind w:firstLine="420" w:firstLineChars="1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送：县委、县人大、县政府、县政协，纪委，法院，检察院</w:t>
      </w:r>
    </w:p>
    <w:p w14:paraId="4F4A3436">
      <w:pPr>
        <w:spacing w:line="540" w:lineRule="exact"/>
        <w:ind w:firstLine="980" w:firstLineChars="3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sz w:val="28"/>
          <w:szCs w:val="28"/>
        </w:rPr>
        <w:t>县</w:t>
      </w:r>
      <w:r>
        <w:rPr>
          <w:rFonts w:hint="eastAsia" w:ascii="仿宋_GB2312" w:hAnsi="仿宋_GB2312" w:eastAsia="仿宋_GB2312"/>
          <w:sz w:val="28"/>
          <w:szCs w:val="28"/>
          <w:lang w:eastAsia="zh-CN"/>
        </w:rPr>
        <w:t>委农村</w:t>
      </w:r>
      <w:r>
        <w:rPr>
          <w:rFonts w:hint="eastAsia" w:ascii="仿宋_GB2312" w:hAnsi="仿宋_GB2312" w:eastAsia="仿宋_GB2312"/>
          <w:sz w:val="28"/>
          <w:szCs w:val="28"/>
        </w:rPr>
        <w:t>工作领导小组</w:t>
      </w:r>
      <w:r>
        <w:rPr>
          <w:rFonts w:hint="eastAsia" w:ascii="仿宋_GB2312" w:hAnsi="仿宋_GB2312" w:eastAsia="仿宋_GB2312" w:cs="仿宋_GB2312"/>
          <w:color w:val="000000" w:themeColor="text1"/>
          <w:sz w:val="28"/>
          <w:szCs w:val="28"/>
          <w14:textFill>
            <w14:solidFill>
              <w14:schemeClr w14:val="tx1"/>
            </w14:solidFill>
          </w14:textFill>
        </w:rPr>
        <w:t>有关成员单位</w:t>
      </w:r>
    </w:p>
    <w:p w14:paraId="16625568">
      <w:pPr>
        <w:spacing w:line="540" w:lineRule="exact"/>
        <w:ind w:firstLine="280" w:firstLine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20320</wp:posOffset>
                </wp:positionV>
                <wp:extent cx="5615940" cy="0"/>
                <wp:effectExtent l="0" t="0" r="0" b="0"/>
                <wp:wrapNone/>
                <wp:docPr id="3" name="直线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1.6pt;height:0pt;width:442.2pt;z-index:251664384;mso-width-relative:page;mso-height-relative:page;" filled="f" stroked="t" coordsize="21600,21600" o:gfxdata="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AlG2NIAAAAE&#10;AQAADwAAAAAAAAABACAAAAAiAAAAZHJzL2Rvd25yZXYueG1sUEsBAhQAFAAAAAgAh07iQDxfTwDp&#10;AQAA2wMAAA4AAAAAAAAAAQAgAAAAIQEAAGRycy9lMm9Eb2MueG1sUEsFBgAAAAAGAAYAWQEAAHwF&#10;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w:t>开阳县</w:t>
      </w:r>
      <w:r>
        <w:rPr>
          <w:rFonts w:hint="eastAsia" w:ascii="仿宋_GB2312" w:hAnsi="仿宋_GB2312" w:eastAsia="仿宋_GB2312" w:cs="仿宋_GB2312"/>
          <w:color w:val="000000"/>
          <w:sz w:val="28"/>
          <w:szCs w:val="28"/>
          <w:lang w:eastAsia="zh-CN"/>
        </w:rPr>
        <w:t>民族宗教事务局</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202</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年</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rPr>
        <w:t>日印发</w:t>
      </w:r>
    </w:p>
    <w:p w14:paraId="29DE8530">
      <w:pPr>
        <w:wordWrap w:val="0"/>
        <w:spacing w:line="540" w:lineRule="exact"/>
        <w:jc w:val="righ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58420</wp:posOffset>
                </wp:positionV>
                <wp:extent cx="5615940" cy="0"/>
                <wp:effectExtent l="0" t="0" r="0" b="0"/>
                <wp:wrapNone/>
                <wp:docPr id="4" name="直线 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4.6pt;height:0pt;width:442.2pt;z-index:251662336;mso-width-relative:page;mso-height-relative:page;" filled="f" stroked="t" coordsize="21600,21600" o:gfxdata="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AJQgvUAAAA&#10;BAEAAA8AAAAAAAAAAQAgAAAAIgAAAGRycy9kb3ducmV2LnhtbFBLAQIUABQAAAAIAIdO4kCsLF0m&#10;6AEAANwDAAAOAAAAAAAAAAEAIAAAACMBAABkcnMvZTJvRG9jLnhtbFBLBQYAAAAABgAGAFkBAAB9&#10;BQ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z w:val="28"/>
          <w:szCs w:val="28"/>
        </w:rPr>
        <w:t>共印</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份</w:t>
      </w:r>
      <w:r>
        <w:rPr>
          <w:rFonts w:hint="eastAsia" w:ascii="仿宋_GB2312" w:hAnsi="仿宋_GB2312" w:eastAsia="仿宋_GB2312" w:cs="仿宋_GB2312"/>
          <w:color w:val="000000"/>
          <w:sz w:val="28"/>
          <w:szCs w:val="28"/>
          <w:lang w:val="en-US" w:eastAsia="zh-CN"/>
        </w:rPr>
        <w:t xml:space="preserve">      </w:t>
      </w:r>
    </w:p>
    <w:sectPr>
      <w:pgSz w:w="11906" w:h="16838"/>
      <w:pgMar w:top="2098" w:right="1474" w:bottom="1984" w:left="1587" w:header="851" w:footer="1474"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MingLiU"/>
    <w:panose1 w:val="00000000000000000000"/>
    <w:charset w:val="00"/>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04B73">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77971">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7277971">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14:paraId="573E5B44">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A4E1">
    <w:pPr>
      <w:pStyle w:val="4"/>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E047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F6E047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14:paraId="25A31D2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82F50">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D4FF">
    <w:pPr>
      <w:pStyle w:val="5"/>
      <w:pBdr>
        <w:lef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MDVmMmQ2MWZmMzgzOTExNzAyYzA1NDgxMzIzODIifQ=="/>
  </w:docVars>
  <w:rsids>
    <w:rsidRoot w:val="1A2F595D"/>
    <w:rsid w:val="00041892"/>
    <w:rsid w:val="00063582"/>
    <w:rsid w:val="000640BE"/>
    <w:rsid w:val="00081531"/>
    <w:rsid w:val="00083171"/>
    <w:rsid w:val="00083F3D"/>
    <w:rsid w:val="00096B53"/>
    <w:rsid w:val="000C08B2"/>
    <w:rsid w:val="000C71E6"/>
    <w:rsid w:val="000C7680"/>
    <w:rsid w:val="000E3808"/>
    <w:rsid w:val="000E5BD2"/>
    <w:rsid w:val="000E7FB5"/>
    <w:rsid w:val="000F188C"/>
    <w:rsid w:val="00107106"/>
    <w:rsid w:val="00114B26"/>
    <w:rsid w:val="00121D0F"/>
    <w:rsid w:val="0012693B"/>
    <w:rsid w:val="001310D6"/>
    <w:rsid w:val="001407FE"/>
    <w:rsid w:val="00143D8E"/>
    <w:rsid w:val="00144FC3"/>
    <w:rsid w:val="00145871"/>
    <w:rsid w:val="001511AE"/>
    <w:rsid w:val="00157B75"/>
    <w:rsid w:val="001671C0"/>
    <w:rsid w:val="001C1DA4"/>
    <w:rsid w:val="001C37D7"/>
    <w:rsid w:val="001D21DC"/>
    <w:rsid w:val="001E0A8B"/>
    <w:rsid w:val="001E0DA0"/>
    <w:rsid w:val="001E26A5"/>
    <w:rsid w:val="001F16CA"/>
    <w:rsid w:val="0020280E"/>
    <w:rsid w:val="002251E5"/>
    <w:rsid w:val="00244341"/>
    <w:rsid w:val="00250F68"/>
    <w:rsid w:val="00273F94"/>
    <w:rsid w:val="00274B6D"/>
    <w:rsid w:val="00277543"/>
    <w:rsid w:val="002814D7"/>
    <w:rsid w:val="00290197"/>
    <w:rsid w:val="002A0E72"/>
    <w:rsid w:val="002A235D"/>
    <w:rsid w:val="002C6753"/>
    <w:rsid w:val="002D2AD9"/>
    <w:rsid w:val="002D375D"/>
    <w:rsid w:val="002E60E3"/>
    <w:rsid w:val="003237D9"/>
    <w:rsid w:val="003416EB"/>
    <w:rsid w:val="0035091B"/>
    <w:rsid w:val="003A566C"/>
    <w:rsid w:val="003C1D85"/>
    <w:rsid w:val="003C2F3C"/>
    <w:rsid w:val="003D1CA1"/>
    <w:rsid w:val="003E1032"/>
    <w:rsid w:val="003E7000"/>
    <w:rsid w:val="00403A64"/>
    <w:rsid w:val="00421375"/>
    <w:rsid w:val="00422766"/>
    <w:rsid w:val="0042718A"/>
    <w:rsid w:val="00427700"/>
    <w:rsid w:val="00430006"/>
    <w:rsid w:val="00443F1C"/>
    <w:rsid w:val="00445F10"/>
    <w:rsid w:val="0044657B"/>
    <w:rsid w:val="004933AF"/>
    <w:rsid w:val="00493B49"/>
    <w:rsid w:val="004A7A59"/>
    <w:rsid w:val="004C7ADE"/>
    <w:rsid w:val="004E5E2C"/>
    <w:rsid w:val="004E6F90"/>
    <w:rsid w:val="005001ED"/>
    <w:rsid w:val="0050149D"/>
    <w:rsid w:val="00502FB0"/>
    <w:rsid w:val="00507BD2"/>
    <w:rsid w:val="005224BF"/>
    <w:rsid w:val="00527CE0"/>
    <w:rsid w:val="00545DD9"/>
    <w:rsid w:val="00552BAF"/>
    <w:rsid w:val="005619E0"/>
    <w:rsid w:val="005636C9"/>
    <w:rsid w:val="0058768D"/>
    <w:rsid w:val="005920F2"/>
    <w:rsid w:val="0059343C"/>
    <w:rsid w:val="005939B0"/>
    <w:rsid w:val="005A108B"/>
    <w:rsid w:val="005A7F13"/>
    <w:rsid w:val="005D3570"/>
    <w:rsid w:val="005D6D52"/>
    <w:rsid w:val="005E582F"/>
    <w:rsid w:val="006104FB"/>
    <w:rsid w:val="006159EF"/>
    <w:rsid w:val="00626872"/>
    <w:rsid w:val="00633263"/>
    <w:rsid w:val="00636929"/>
    <w:rsid w:val="006413AD"/>
    <w:rsid w:val="00651891"/>
    <w:rsid w:val="00657EF8"/>
    <w:rsid w:val="00661AEB"/>
    <w:rsid w:val="0067604F"/>
    <w:rsid w:val="0069365B"/>
    <w:rsid w:val="0069642E"/>
    <w:rsid w:val="006A06C5"/>
    <w:rsid w:val="006A6CE6"/>
    <w:rsid w:val="006A7C39"/>
    <w:rsid w:val="006B44CC"/>
    <w:rsid w:val="006D342D"/>
    <w:rsid w:val="007068B5"/>
    <w:rsid w:val="00723FAE"/>
    <w:rsid w:val="00766DFF"/>
    <w:rsid w:val="007673FE"/>
    <w:rsid w:val="00776788"/>
    <w:rsid w:val="00785000"/>
    <w:rsid w:val="0078788C"/>
    <w:rsid w:val="00792DDF"/>
    <w:rsid w:val="007B366C"/>
    <w:rsid w:val="007D15AA"/>
    <w:rsid w:val="007E035E"/>
    <w:rsid w:val="007F0075"/>
    <w:rsid w:val="00801F62"/>
    <w:rsid w:val="00814623"/>
    <w:rsid w:val="00814A78"/>
    <w:rsid w:val="00820A10"/>
    <w:rsid w:val="00830CDB"/>
    <w:rsid w:val="0084211F"/>
    <w:rsid w:val="008465C7"/>
    <w:rsid w:val="00857DDA"/>
    <w:rsid w:val="0086277C"/>
    <w:rsid w:val="00870FC4"/>
    <w:rsid w:val="00887B61"/>
    <w:rsid w:val="008975E6"/>
    <w:rsid w:val="008A0504"/>
    <w:rsid w:val="008C47CA"/>
    <w:rsid w:val="008D4B7A"/>
    <w:rsid w:val="008E7C86"/>
    <w:rsid w:val="00902794"/>
    <w:rsid w:val="00930051"/>
    <w:rsid w:val="0096323A"/>
    <w:rsid w:val="00976731"/>
    <w:rsid w:val="00992E8A"/>
    <w:rsid w:val="009A1AA7"/>
    <w:rsid w:val="009B122B"/>
    <w:rsid w:val="009D5EE3"/>
    <w:rsid w:val="00A02357"/>
    <w:rsid w:val="00A14C4B"/>
    <w:rsid w:val="00A24026"/>
    <w:rsid w:val="00A31490"/>
    <w:rsid w:val="00A504FA"/>
    <w:rsid w:val="00A52A99"/>
    <w:rsid w:val="00A64FB8"/>
    <w:rsid w:val="00A67A05"/>
    <w:rsid w:val="00A70A73"/>
    <w:rsid w:val="00A9050C"/>
    <w:rsid w:val="00A944A9"/>
    <w:rsid w:val="00AB1DE8"/>
    <w:rsid w:val="00AB2839"/>
    <w:rsid w:val="00AB4DA9"/>
    <w:rsid w:val="00AC5B5D"/>
    <w:rsid w:val="00AC77F1"/>
    <w:rsid w:val="00B23CD9"/>
    <w:rsid w:val="00B60A7D"/>
    <w:rsid w:val="00B616A0"/>
    <w:rsid w:val="00B9039F"/>
    <w:rsid w:val="00B9603F"/>
    <w:rsid w:val="00BA137F"/>
    <w:rsid w:val="00BB0736"/>
    <w:rsid w:val="00BF4118"/>
    <w:rsid w:val="00C065DD"/>
    <w:rsid w:val="00C15D96"/>
    <w:rsid w:val="00C2164F"/>
    <w:rsid w:val="00C30369"/>
    <w:rsid w:val="00C324A0"/>
    <w:rsid w:val="00C34768"/>
    <w:rsid w:val="00C408DF"/>
    <w:rsid w:val="00C53FD9"/>
    <w:rsid w:val="00C7358E"/>
    <w:rsid w:val="00C81E07"/>
    <w:rsid w:val="00C854FD"/>
    <w:rsid w:val="00C8689C"/>
    <w:rsid w:val="00CA7607"/>
    <w:rsid w:val="00CB0CE5"/>
    <w:rsid w:val="00CC543F"/>
    <w:rsid w:val="00CD5DB8"/>
    <w:rsid w:val="00CF28CC"/>
    <w:rsid w:val="00D01F18"/>
    <w:rsid w:val="00D23498"/>
    <w:rsid w:val="00D8219A"/>
    <w:rsid w:val="00D8657E"/>
    <w:rsid w:val="00DA5524"/>
    <w:rsid w:val="00DA6487"/>
    <w:rsid w:val="00DB0B2B"/>
    <w:rsid w:val="00DB3FBE"/>
    <w:rsid w:val="00DD2843"/>
    <w:rsid w:val="00DD2AEE"/>
    <w:rsid w:val="00DE0731"/>
    <w:rsid w:val="00DE65AD"/>
    <w:rsid w:val="00E227D7"/>
    <w:rsid w:val="00E22C86"/>
    <w:rsid w:val="00E40D2E"/>
    <w:rsid w:val="00E54772"/>
    <w:rsid w:val="00E55837"/>
    <w:rsid w:val="00E57870"/>
    <w:rsid w:val="00E837BE"/>
    <w:rsid w:val="00EA4BEE"/>
    <w:rsid w:val="00F056C4"/>
    <w:rsid w:val="00F07AC7"/>
    <w:rsid w:val="00F162F0"/>
    <w:rsid w:val="00F4047F"/>
    <w:rsid w:val="00F41D19"/>
    <w:rsid w:val="00F62254"/>
    <w:rsid w:val="00F6511B"/>
    <w:rsid w:val="00F75210"/>
    <w:rsid w:val="00F778C6"/>
    <w:rsid w:val="00FA19E4"/>
    <w:rsid w:val="00FA42B8"/>
    <w:rsid w:val="00FA65CA"/>
    <w:rsid w:val="00FB7D41"/>
    <w:rsid w:val="00FC4786"/>
    <w:rsid w:val="01A318F3"/>
    <w:rsid w:val="01D56A77"/>
    <w:rsid w:val="021937E2"/>
    <w:rsid w:val="02FA3C11"/>
    <w:rsid w:val="03726BD7"/>
    <w:rsid w:val="03C275C3"/>
    <w:rsid w:val="040272B6"/>
    <w:rsid w:val="04732647"/>
    <w:rsid w:val="04BC6AC6"/>
    <w:rsid w:val="04E03AA1"/>
    <w:rsid w:val="06AB721D"/>
    <w:rsid w:val="06CD257C"/>
    <w:rsid w:val="07474D19"/>
    <w:rsid w:val="07C17B6D"/>
    <w:rsid w:val="09597006"/>
    <w:rsid w:val="096C333E"/>
    <w:rsid w:val="09F95FA8"/>
    <w:rsid w:val="0D096AFF"/>
    <w:rsid w:val="0F7806A2"/>
    <w:rsid w:val="120451D4"/>
    <w:rsid w:val="136F188E"/>
    <w:rsid w:val="13D36CC7"/>
    <w:rsid w:val="14D47131"/>
    <w:rsid w:val="15830AD3"/>
    <w:rsid w:val="158623E7"/>
    <w:rsid w:val="15E40590"/>
    <w:rsid w:val="169041C9"/>
    <w:rsid w:val="169A5773"/>
    <w:rsid w:val="170013D3"/>
    <w:rsid w:val="18976BCE"/>
    <w:rsid w:val="1A2F595D"/>
    <w:rsid w:val="1B1B59B5"/>
    <w:rsid w:val="1B2015EA"/>
    <w:rsid w:val="1C9E3D80"/>
    <w:rsid w:val="1DD70B0C"/>
    <w:rsid w:val="1E3F323F"/>
    <w:rsid w:val="1E8C282B"/>
    <w:rsid w:val="201C7B00"/>
    <w:rsid w:val="20AE398B"/>
    <w:rsid w:val="21282068"/>
    <w:rsid w:val="220E7EB5"/>
    <w:rsid w:val="23172040"/>
    <w:rsid w:val="23214466"/>
    <w:rsid w:val="24800CBD"/>
    <w:rsid w:val="24CB25CC"/>
    <w:rsid w:val="25A14E0E"/>
    <w:rsid w:val="26AD64BC"/>
    <w:rsid w:val="27710810"/>
    <w:rsid w:val="2774667D"/>
    <w:rsid w:val="282F0B6C"/>
    <w:rsid w:val="295D729E"/>
    <w:rsid w:val="2AD77D6B"/>
    <w:rsid w:val="2C273768"/>
    <w:rsid w:val="2C371498"/>
    <w:rsid w:val="2DAB0707"/>
    <w:rsid w:val="2E630336"/>
    <w:rsid w:val="2E91327C"/>
    <w:rsid w:val="2EDB47CD"/>
    <w:rsid w:val="2F1C55A4"/>
    <w:rsid w:val="2F420A0E"/>
    <w:rsid w:val="2FB61B0D"/>
    <w:rsid w:val="300C727A"/>
    <w:rsid w:val="303E4EE6"/>
    <w:rsid w:val="30D1028F"/>
    <w:rsid w:val="31326F52"/>
    <w:rsid w:val="33150BE9"/>
    <w:rsid w:val="335B7731"/>
    <w:rsid w:val="34CA5108"/>
    <w:rsid w:val="35880C17"/>
    <w:rsid w:val="360638E6"/>
    <w:rsid w:val="360E0429"/>
    <w:rsid w:val="363D08CC"/>
    <w:rsid w:val="36997E62"/>
    <w:rsid w:val="376B206F"/>
    <w:rsid w:val="38B67A98"/>
    <w:rsid w:val="39C24F79"/>
    <w:rsid w:val="3A9248CD"/>
    <w:rsid w:val="3BF52B59"/>
    <w:rsid w:val="3C017C3C"/>
    <w:rsid w:val="3D447981"/>
    <w:rsid w:val="3E6B51DE"/>
    <w:rsid w:val="3FAC42F5"/>
    <w:rsid w:val="41EE55D3"/>
    <w:rsid w:val="4376712E"/>
    <w:rsid w:val="43804FB3"/>
    <w:rsid w:val="45073A4F"/>
    <w:rsid w:val="45CD7101"/>
    <w:rsid w:val="46350C28"/>
    <w:rsid w:val="470F0011"/>
    <w:rsid w:val="475E44B5"/>
    <w:rsid w:val="48537E46"/>
    <w:rsid w:val="49BD6C0F"/>
    <w:rsid w:val="4B36457C"/>
    <w:rsid w:val="4B4C7CBB"/>
    <w:rsid w:val="4C41146F"/>
    <w:rsid w:val="4C666F27"/>
    <w:rsid w:val="4D1E4E03"/>
    <w:rsid w:val="4D425031"/>
    <w:rsid w:val="4D7946A9"/>
    <w:rsid w:val="4E140DCC"/>
    <w:rsid w:val="502D2C76"/>
    <w:rsid w:val="50CC1AE3"/>
    <w:rsid w:val="53657412"/>
    <w:rsid w:val="544D357D"/>
    <w:rsid w:val="54EB303F"/>
    <w:rsid w:val="55981C79"/>
    <w:rsid w:val="585854DD"/>
    <w:rsid w:val="58970CA2"/>
    <w:rsid w:val="5D30055B"/>
    <w:rsid w:val="5E232B29"/>
    <w:rsid w:val="5F0B4827"/>
    <w:rsid w:val="5FE14E2A"/>
    <w:rsid w:val="608B5452"/>
    <w:rsid w:val="61F061FA"/>
    <w:rsid w:val="62227536"/>
    <w:rsid w:val="625A2B55"/>
    <w:rsid w:val="62C71B8C"/>
    <w:rsid w:val="631F6D97"/>
    <w:rsid w:val="6413446A"/>
    <w:rsid w:val="64465168"/>
    <w:rsid w:val="64F25DE5"/>
    <w:rsid w:val="656C4651"/>
    <w:rsid w:val="65B247FC"/>
    <w:rsid w:val="68432355"/>
    <w:rsid w:val="687D65B1"/>
    <w:rsid w:val="68D301EC"/>
    <w:rsid w:val="696B1AB9"/>
    <w:rsid w:val="69E57F56"/>
    <w:rsid w:val="69F32AF0"/>
    <w:rsid w:val="6AA4394A"/>
    <w:rsid w:val="6B0E3569"/>
    <w:rsid w:val="6B3C5656"/>
    <w:rsid w:val="6C547ACA"/>
    <w:rsid w:val="6D052614"/>
    <w:rsid w:val="6DFB02AB"/>
    <w:rsid w:val="6E8C3A45"/>
    <w:rsid w:val="6E983D59"/>
    <w:rsid w:val="71EB00AB"/>
    <w:rsid w:val="72B90C34"/>
    <w:rsid w:val="73697BBA"/>
    <w:rsid w:val="73CA68AB"/>
    <w:rsid w:val="74C66121"/>
    <w:rsid w:val="774C1F9B"/>
    <w:rsid w:val="778F455A"/>
    <w:rsid w:val="7A4846A5"/>
    <w:rsid w:val="7AE176B0"/>
    <w:rsid w:val="7B3D12F5"/>
    <w:rsid w:val="7BD4621A"/>
    <w:rsid w:val="7D0B3E20"/>
    <w:rsid w:val="7D101484"/>
    <w:rsid w:val="7DF124F2"/>
    <w:rsid w:val="7E705B64"/>
    <w:rsid w:val="7E7B6639"/>
    <w:rsid w:val="7EC714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99"/>
    <w:pPr>
      <w:ind w:left="420" w:leftChars="200"/>
    </w:pPr>
  </w:style>
  <w:style w:type="paragraph" w:styleId="3">
    <w:name w:val="Balloon Text"/>
    <w:basedOn w:val="1"/>
    <w:link w:val="22"/>
    <w:autoRedefine/>
    <w:qFormat/>
    <w:uiPriority w:val="0"/>
    <w:rPr>
      <w:sz w:val="18"/>
      <w:szCs w:val="18"/>
    </w:rPr>
  </w:style>
  <w:style w:type="paragraph" w:styleId="4">
    <w:name w:val="footer"/>
    <w:basedOn w:val="1"/>
    <w:link w:val="2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0"/>
    <w:rPr>
      <w:rFonts w:ascii="Times New Roman" w:hAnsi="Times New Roman" w:eastAsia="宋体" w:cs="Times New Roman"/>
    </w:rPr>
  </w:style>
  <w:style w:type="character" w:styleId="12">
    <w:name w:val="HTML Definition"/>
    <w:basedOn w:val="9"/>
    <w:qFormat/>
    <w:uiPriority w:val="0"/>
    <w:rPr>
      <w:i/>
    </w:rPr>
  </w:style>
  <w:style w:type="character" w:styleId="13">
    <w:name w:val="Hyperlink"/>
    <w:basedOn w:val="9"/>
    <w:autoRedefine/>
    <w:qFormat/>
    <w:uiPriority w:val="0"/>
    <w:rPr>
      <w:color w:val="0000FF"/>
      <w:u w:val="single"/>
    </w:rPr>
  </w:style>
  <w:style w:type="character" w:styleId="14">
    <w:name w:val="HTML Code"/>
    <w:basedOn w:val="9"/>
    <w:autoRedefine/>
    <w:qFormat/>
    <w:uiPriority w:val="0"/>
    <w:rPr>
      <w:rFonts w:hint="default" w:ascii="monospace" w:hAnsi="monospace" w:eastAsia="monospace" w:cs="monospace"/>
      <w:sz w:val="21"/>
      <w:szCs w:val="21"/>
    </w:rPr>
  </w:style>
  <w:style w:type="character" w:styleId="15">
    <w:name w:val="HTML Keyboard"/>
    <w:basedOn w:val="9"/>
    <w:autoRedefine/>
    <w:qFormat/>
    <w:uiPriority w:val="0"/>
    <w:rPr>
      <w:rFonts w:ascii="monospace" w:hAnsi="monospace" w:eastAsia="monospace" w:cs="monospace"/>
      <w:sz w:val="21"/>
      <w:szCs w:val="21"/>
    </w:rPr>
  </w:style>
  <w:style w:type="character" w:styleId="16">
    <w:name w:val="HTML Sample"/>
    <w:basedOn w:val="9"/>
    <w:autoRedefine/>
    <w:qFormat/>
    <w:uiPriority w:val="0"/>
    <w:rPr>
      <w:rFonts w:hint="default" w:ascii="monospace" w:hAnsi="monospace" w:eastAsia="monospace" w:cs="monospace"/>
      <w:sz w:val="21"/>
      <w:szCs w:val="21"/>
    </w:rPr>
  </w:style>
  <w:style w:type="character" w:customStyle="1" w:styleId="17">
    <w:name w:val="html_txt1"/>
    <w:basedOn w:val="9"/>
    <w:autoRedefine/>
    <w:qFormat/>
    <w:uiPriority w:val="0"/>
    <w:rPr>
      <w:color w:val="000000"/>
    </w:rPr>
  </w:style>
  <w:style w:type="character" w:customStyle="1" w:styleId="18">
    <w:name w:val="html_tag1"/>
    <w:basedOn w:val="9"/>
    <w:autoRedefine/>
    <w:qFormat/>
    <w:uiPriority w:val="0"/>
    <w:rPr>
      <w:color w:val="0000FF"/>
    </w:rPr>
  </w:style>
  <w:style w:type="character" w:customStyle="1" w:styleId="19">
    <w:name w:val="first-child"/>
    <w:basedOn w:val="9"/>
    <w:autoRedefine/>
    <w:qFormat/>
    <w:uiPriority w:val="0"/>
  </w:style>
  <w:style w:type="character" w:customStyle="1" w:styleId="20">
    <w:name w:val="active10"/>
    <w:basedOn w:val="9"/>
    <w:autoRedefine/>
    <w:qFormat/>
    <w:uiPriority w:val="0"/>
    <w:rPr>
      <w:shd w:val="clear" w:color="auto" w:fill="E74900"/>
    </w:rPr>
  </w:style>
  <w:style w:type="character" w:customStyle="1" w:styleId="21">
    <w:name w:val="页脚 Char"/>
    <w:basedOn w:val="9"/>
    <w:link w:val="4"/>
    <w:autoRedefine/>
    <w:qFormat/>
    <w:uiPriority w:val="99"/>
    <w:rPr>
      <w:rFonts w:asciiTheme="minorHAnsi" w:hAnsiTheme="minorHAnsi" w:eastAsiaTheme="minorEastAsia" w:cstheme="minorBidi"/>
      <w:kern w:val="2"/>
      <w:sz w:val="18"/>
      <w:szCs w:val="24"/>
    </w:rPr>
  </w:style>
  <w:style w:type="character" w:customStyle="1" w:styleId="22">
    <w:name w:val="批注框文本 Char"/>
    <w:basedOn w:val="9"/>
    <w:link w:val="3"/>
    <w:autoRedefine/>
    <w:qFormat/>
    <w:uiPriority w:val="0"/>
    <w:rPr>
      <w:rFonts w:asciiTheme="minorHAnsi" w:hAnsiTheme="minorHAnsi" w:eastAsiaTheme="minorEastAsia" w:cstheme="minorBidi"/>
      <w:kern w:val="2"/>
      <w:sz w:val="18"/>
      <w:szCs w:val="18"/>
    </w:rPr>
  </w:style>
  <w:style w:type="character" w:customStyle="1" w:styleId="23">
    <w:name w:val="font11"/>
    <w:basedOn w:val="9"/>
    <w:autoRedefine/>
    <w:qFormat/>
    <w:uiPriority w:val="0"/>
    <w:rPr>
      <w:rFonts w:hint="eastAsia" w:ascii="仿宋_GB2312" w:eastAsia="仿宋_GB2312" w:cs="仿宋_GB2312"/>
      <w:color w:val="000000"/>
      <w:sz w:val="20"/>
      <w:szCs w:val="20"/>
      <w:u w:val="none"/>
    </w:rPr>
  </w:style>
  <w:style w:type="character" w:customStyle="1" w:styleId="24">
    <w:name w:val="font21"/>
    <w:basedOn w:val="9"/>
    <w:autoRedefine/>
    <w:qFormat/>
    <w:uiPriority w:val="0"/>
    <w:rPr>
      <w:rFonts w:hint="eastAsia" w:ascii="宋体" w:hAnsi="宋体" w:eastAsia="宋体" w:cs="宋体"/>
      <w:color w:val="000000"/>
      <w:sz w:val="20"/>
      <w:szCs w:val="20"/>
      <w:u w:val="none"/>
    </w:rPr>
  </w:style>
  <w:style w:type="character" w:customStyle="1" w:styleId="25">
    <w:name w:val="font31"/>
    <w:basedOn w:val="9"/>
    <w:autoRedefine/>
    <w:qFormat/>
    <w:uiPriority w:val="0"/>
    <w:rPr>
      <w:rFonts w:hint="eastAsia" w:ascii="仿宋_GB2312" w:eastAsia="仿宋_GB2312" w:cs="仿宋_GB2312"/>
      <w:color w:val="FF0000"/>
      <w:sz w:val="20"/>
      <w:szCs w:val="20"/>
      <w:u w:val="none"/>
    </w:rPr>
  </w:style>
  <w:style w:type="character" w:customStyle="1" w:styleId="26">
    <w:name w:val="font01"/>
    <w:basedOn w:val="9"/>
    <w:autoRedefine/>
    <w:qFormat/>
    <w:uiPriority w:val="0"/>
    <w:rPr>
      <w:rFonts w:hint="eastAsia" w:ascii="宋体" w:hAnsi="宋体" w:eastAsia="宋体" w:cs="宋体"/>
      <w:color w:val="FF0000"/>
      <w:sz w:val="20"/>
      <w:szCs w:val="20"/>
      <w:u w:val="none"/>
    </w:rPr>
  </w:style>
  <w:style w:type="character" w:customStyle="1" w:styleId="27">
    <w:name w:val="font51"/>
    <w:basedOn w:val="9"/>
    <w:autoRedefine/>
    <w:qFormat/>
    <w:uiPriority w:val="0"/>
    <w:rPr>
      <w:rFonts w:hint="eastAsia" w:ascii="仿宋_GB2312" w:eastAsia="仿宋_GB2312" w:cs="仿宋_GB2312"/>
      <w:color w:val="000000"/>
      <w:sz w:val="24"/>
      <w:szCs w:val="24"/>
      <w:u w:val="none"/>
    </w:rPr>
  </w:style>
  <w:style w:type="character" w:customStyle="1" w:styleId="28">
    <w:name w:val="font101"/>
    <w:basedOn w:val="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世纪天成</Company>
  <Pages>10</Pages>
  <Words>2886</Words>
  <Characters>3197</Characters>
  <Lines>27</Lines>
  <Paragraphs>7</Paragraphs>
  <TotalTime>1472</TotalTime>
  <ScaleCrop>false</ScaleCrop>
  <LinksUpToDate>false</LinksUpToDate>
  <CharactersWithSpaces>3406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2020-01-07T02:52:00Z</dcterms:created>
  <dc:creator>123</dc:creator>
  <cp:lastModifiedBy>great</cp:lastModifiedBy>
  <cp:lastPrinted>2025-06-30T05:58:00Z</cp:lastPrinted>
  <dcterms:modified xsi:type="dcterms:W3CDTF">2025-07-10T05:24:42Z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8E7CADC9843842D697141D2662D4BAD6_13</vt:lpwstr>
  </property>
  <property fmtid="{D5CDD505-2E9C-101B-9397-08002B2CF9AE}" pid="4" name="KSOTemplateDocerSaveRecord">
    <vt:lpwstr>eyJoZGlkIjoiZTcwNWNjMzhjODYxYTdmOTJjMGQ0NTU5ZTU4YTMyYjkiLCJ1c2VySWQiOiI0ODY5MDk2NTQifQ==</vt:lpwstr>
  </property>
</Properties>
</file>