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eastAsia="黑体" w:cs="黑体"/>
          <w:sz w:val="30"/>
          <w:szCs w:val="30"/>
          <w:lang w:val="en-US" w:eastAsia="zh-CN"/>
        </w:rPr>
      </w:pPr>
      <w:bookmarkStart w:id="0" w:name="_GoBack"/>
      <w:bookmarkEnd w:id="0"/>
      <w:r>
        <w:rPr>
          <w:rFonts w:hint="eastAsia" w:ascii="黑体" w:eastAsia="黑体" w:cs="黑体"/>
          <w:sz w:val="30"/>
          <w:szCs w:val="30"/>
          <w:lang w:val="en-US" w:eastAsia="zh-CN"/>
        </w:rPr>
        <w:t>附件</w:t>
      </w:r>
    </w:p>
    <w:p>
      <w:pPr>
        <w:jc w:val="center"/>
        <w:rPr>
          <w:rFonts w:hint="eastAsia"/>
          <w:sz w:val="36"/>
          <w:szCs w:val="36"/>
          <w:lang w:val="en-US" w:eastAsia="zh-CN"/>
        </w:rPr>
      </w:pPr>
      <w:r>
        <w:rPr>
          <w:rFonts w:hint="eastAsia" w:ascii="方正小标宋简体" w:eastAsia="方正小标宋简体" w:cs="方正小标宋简体"/>
          <w:sz w:val="36"/>
          <w:szCs w:val="36"/>
          <w:lang w:val="en-US" w:eastAsia="zh-CN"/>
        </w:rPr>
        <w:t>贵阳市巩固提升国家食品安全示范城市三年行动主要任务责任分解表</w:t>
      </w:r>
    </w:p>
    <w:tbl>
      <w:tblPr>
        <w:tblStyle w:val="6"/>
        <w:tblW w:w="13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6395"/>
        <w:gridCol w:w="2368"/>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3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4"/>
                <w:szCs w:val="24"/>
                <w:vertAlign w:val="baseline"/>
                <w:lang w:val="en-US" w:eastAsia="zh-CN"/>
              </w:rPr>
            </w:pPr>
            <w:r>
              <w:rPr>
                <w:rFonts w:hint="eastAsia" w:ascii="黑体" w:eastAsia="黑体" w:cs="黑体"/>
                <w:sz w:val="24"/>
                <w:szCs w:val="24"/>
                <w:vertAlign w:val="baseline"/>
                <w:lang w:val="en-US" w:eastAsia="zh-CN"/>
              </w:rPr>
              <w:t>主要任务</w:t>
            </w:r>
          </w:p>
        </w:tc>
        <w:tc>
          <w:tcPr>
            <w:tcW w:w="639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4"/>
                <w:szCs w:val="24"/>
                <w:vertAlign w:val="baseline"/>
                <w:lang w:val="en-US" w:eastAsia="zh-CN"/>
              </w:rPr>
            </w:pPr>
            <w:r>
              <w:rPr>
                <w:rFonts w:hint="eastAsia" w:ascii="黑体" w:eastAsia="黑体" w:cs="黑体"/>
                <w:sz w:val="24"/>
                <w:szCs w:val="24"/>
                <w:vertAlign w:val="baseline"/>
                <w:lang w:val="en-US" w:eastAsia="zh-CN"/>
              </w:rPr>
              <w:t>工作内容</w:t>
            </w:r>
          </w:p>
        </w:tc>
        <w:tc>
          <w:tcPr>
            <w:tcW w:w="236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4"/>
                <w:szCs w:val="24"/>
                <w:vertAlign w:val="baseline"/>
                <w:lang w:val="en-US" w:eastAsia="zh-CN"/>
              </w:rPr>
            </w:pPr>
            <w:r>
              <w:rPr>
                <w:rFonts w:hint="eastAsia" w:ascii="黑体" w:eastAsia="黑体" w:cs="黑体"/>
                <w:sz w:val="24"/>
                <w:szCs w:val="24"/>
                <w:vertAlign w:val="baseline"/>
                <w:lang w:val="en-US" w:eastAsia="zh-CN"/>
              </w:rPr>
              <w:t>牵头单位</w:t>
            </w:r>
          </w:p>
        </w:tc>
        <w:tc>
          <w:tcPr>
            <w:tcW w:w="232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黑体" w:eastAsia="黑体" w:cs="黑体"/>
                <w:sz w:val="24"/>
                <w:szCs w:val="24"/>
                <w:vertAlign w:val="baseline"/>
                <w:lang w:val="en-US" w:eastAsia="zh-CN"/>
              </w:rPr>
            </w:pPr>
            <w:r>
              <w:rPr>
                <w:rFonts w:hint="eastAsia" w:ascii="黑体" w:eastAsia="黑体" w:cs="黑体"/>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7" w:hRule="atLeast"/>
        </w:trPr>
        <w:tc>
          <w:tcPr>
            <w:tcW w:w="263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（一）扛好重大责任，守住食品安全底线</w:t>
            </w:r>
          </w:p>
          <w:p>
            <w:pPr>
              <w:jc w:val="center"/>
              <w:rPr>
                <w:rFonts w:hint="eastAsia" w:ascii="方正小标宋简体" w:eastAsia="方正小标宋简体" w:cs="方正小标宋简体"/>
                <w:sz w:val="32"/>
                <w:szCs w:val="32"/>
                <w:vertAlign w:val="baseline"/>
                <w:lang w:val="en-US" w:eastAsia="zh-CN"/>
              </w:rPr>
            </w:pPr>
          </w:p>
        </w:tc>
        <w:tc>
          <w:tcPr>
            <w:tcW w:w="639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各级各有关部门要用食品安全“四个最严”统领食品安全工作，从解决人民群众普遍关心的突出问题入手，严把“从农田到餐桌”的每一道防线，围绕节令食品、高风险食品、供校食品、量大面广的食品，聚焦突出问题，以特色食品、畜禽肉类、蛋类、水产品、时令果蔬以及米面油类大宗消费食品为重点品种，以食品生产加工聚集区、加工园区、商业区、农村集体聚餐场所、旅游景区、车站码头、网红街、美食城、餐饮聚集区等为重点场所，以大型商超、农批（贸）市场、学校食堂、学校集体用餐配送企业、殡葬机构食堂及承办年夜饭、婚宴等聚餐活动较多的餐饮服务提供者为重点单位，强化监督检查，督促食品生产经营者落实主体责任，让群众吃得安心放心舒心，牢牢守住不发生重大食品安全事故的底线，坚决撑起人民群众食品安全“保护伞”。</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市政府食药安办、市政府食药安委各委员单位</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263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pStyle w:val="2"/>
              <w:rPr>
                <w:rFonts w:ascii="仿宋_GB2312" w:eastAsia="仿宋_GB2312" w:cs="仿宋_GB2312"/>
                <w:color w:val="000000"/>
                <w:sz w:val="24"/>
                <w:szCs w:val="24"/>
                <w:lang w:val="en-US" w:eastAsia="zh-CN"/>
              </w:rPr>
            </w:pPr>
          </w:p>
          <w:p>
            <w:pPr>
              <w:rPr>
                <w:rFonts w:ascii="仿宋_GB2312" w:eastAsia="仿宋_GB2312" w:cs="仿宋_GB2312"/>
                <w:color w:val="000000"/>
                <w:sz w:val="24"/>
                <w:szCs w:val="24"/>
                <w:lang w:val="en-US" w:eastAsia="zh-CN"/>
              </w:rPr>
            </w:pPr>
          </w:p>
          <w:p>
            <w:pPr>
              <w:pStyle w:val="2"/>
              <w:rPr>
                <w:rFonts w:ascii="仿宋_GB2312" w:eastAsia="仿宋_GB2312" w:cs="仿宋_GB2312"/>
                <w:color w:val="000000"/>
                <w:sz w:val="24"/>
                <w:szCs w:val="24"/>
                <w:lang w:val="en-US" w:eastAsia="zh-CN"/>
              </w:rPr>
            </w:pPr>
          </w:p>
          <w:p>
            <w:pPr>
              <w:rPr>
                <w:rFonts w:ascii="仿宋_GB2312" w:eastAsia="仿宋_GB2312" w:cs="仿宋_GB2312"/>
                <w:color w:val="000000"/>
                <w:sz w:val="24"/>
                <w:szCs w:val="24"/>
                <w:lang w:val="en-US" w:eastAsia="zh-CN"/>
              </w:rPr>
            </w:pPr>
          </w:p>
          <w:p>
            <w:pPr>
              <w:pStyle w:val="2"/>
              <w:rPr>
                <w:rFonts w:ascii="仿宋_GB2312" w:eastAsia="仿宋_GB2312" w:cs="仿宋_GB2312"/>
                <w:color w:val="000000"/>
                <w:sz w:val="24"/>
                <w:szCs w:val="24"/>
                <w:lang w:val="en-US" w:eastAsia="zh-CN"/>
              </w:rPr>
            </w:pPr>
          </w:p>
          <w:p>
            <w:pPr>
              <w:rPr>
                <w:lang w:val="en-US" w:eastAsia="zh-CN"/>
              </w:rPr>
            </w:pPr>
          </w:p>
          <w:p>
            <w:pPr>
              <w:keepNext w:val="0"/>
              <w:keepLines w:val="0"/>
              <w:pageBreakBefore w:val="0"/>
              <w:widowControl w:val="0"/>
              <w:kinsoku/>
              <w:wordWrap/>
              <w:overflowPunct/>
              <w:topLinePunct w:val="0"/>
              <w:autoSpaceDE/>
              <w:autoSpaceDN/>
              <w:adjustRightInd/>
              <w:snapToGrid/>
              <w:spacing w:line="300" w:lineRule="exact"/>
              <w:jc w:val="center"/>
              <w:rPr>
                <w:rFonts w:hint="eastAsia" w:ascii="黑体" w:eastAsia="黑体" w:cs="仿宋_GB2312"/>
                <w:color w:val="000000"/>
                <w:sz w:val="24"/>
              </w:rPr>
            </w:pPr>
            <w:r>
              <w:rPr>
                <w:rFonts w:hint="eastAsia" w:ascii="楷体" w:hAnsi="楷体" w:eastAsia="楷体" w:cs="楷体"/>
                <w:color w:val="000000"/>
                <w:sz w:val="24"/>
              </w:rPr>
              <w:t>（二）夯实七大基础，筑牢食品安全防线</w:t>
            </w: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jc w:val="center"/>
              <w:rPr>
                <w:rFonts w:ascii="仿宋_GB2312" w:eastAsia="仿宋_GB2312" w:cs="仿宋_GB2312"/>
                <w:color w:val="000000"/>
                <w:sz w:val="24"/>
                <w:szCs w:val="24"/>
                <w:lang w:val="en-US" w:eastAsia="zh-CN"/>
              </w:rPr>
            </w:pPr>
          </w:p>
          <w:p>
            <w:pPr>
              <w:pStyle w:val="2"/>
            </w:pPr>
          </w:p>
          <w:p/>
          <w:p>
            <w:pPr>
              <w:pStyle w:val="2"/>
            </w:pPr>
          </w:p>
          <w:p/>
          <w:p>
            <w:pPr>
              <w:pStyle w:val="2"/>
            </w:pPr>
          </w:p>
          <w:p/>
          <w:p>
            <w:pPr>
              <w:pStyle w:val="2"/>
            </w:pPr>
          </w:p>
          <w:p/>
          <w:p/>
          <w:p>
            <w:pPr>
              <w:pStyle w:val="2"/>
            </w:pPr>
          </w:p>
          <w:p/>
          <w:p>
            <w:pPr>
              <w:keepNext w:val="0"/>
              <w:keepLines w:val="0"/>
              <w:pageBreakBefore w:val="0"/>
              <w:widowControl w:val="0"/>
              <w:kinsoku/>
              <w:wordWrap/>
              <w:overflowPunct/>
              <w:topLinePunct w:val="0"/>
              <w:autoSpaceDE/>
              <w:autoSpaceDN/>
              <w:adjustRightInd/>
              <w:snapToGrid/>
              <w:spacing w:line="300" w:lineRule="exact"/>
              <w:jc w:val="center"/>
              <w:rPr>
                <w:rFonts w:hint="eastAsia" w:ascii="楷体" w:hAnsi="楷体" w:eastAsia="楷体" w:cs="楷体"/>
                <w:color w:val="000000"/>
                <w:sz w:val="24"/>
                <w:lang w:val="en-US" w:eastAsia="zh-CN"/>
              </w:rPr>
            </w:pPr>
            <w:r>
              <w:rPr>
                <w:rFonts w:hint="eastAsia" w:ascii="楷体" w:hAnsi="楷体" w:eastAsia="楷体" w:cs="楷体"/>
                <w:color w:val="000000"/>
                <w:sz w:val="24"/>
                <w:lang w:val="en-US" w:eastAsia="zh-CN"/>
              </w:rPr>
              <w:t>（二）夯实七大基础，筑牢食品安全防线</w:t>
            </w:r>
          </w:p>
          <w:p>
            <w:pPr>
              <w:jc w:val="center"/>
              <w:rPr>
                <w:rFonts w:ascii="方正小标宋简体" w:eastAsia="方正小标宋简体" w:cs="方正小标宋简体"/>
                <w:sz w:val="32"/>
                <w:szCs w:val="32"/>
                <w:vertAlign w:val="baseline"/>
                <w:lang w:val="en-US" w:eastAsia="zh-CN"/>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adjustRightInd/>
              <w:snapToGrid/>
              <w:spacing w:line="300" w:lineRule="exact"/>
              <w:jc w:val="center"/>
              <w:rPr>
                <w:rFonts w:hint="eastAsia" w:ascii="楷体" w:hAnsi="楷体" w:eastAsia="楷体" w:cs="楷体"/>
                <w:color w:val="000000"/>
                <w:sz w:val="24"/>
              </w:rPr>
            </w:pPr>
            <w:r>
              <w:rPr>
                <w:rFonts w:hint="eastAsia" w:ascii="楷体" w:hAnsi="楷体" w:eastAsia="楷体" w:cs="楷体"/>
                <w:color w:val="000000"/>
                <w:sz w:val="24"/>
              </w:rPr>
              <w:t>（二）夯实七大基础，筑牢食品安全防线</w:t>
            </w:r>
          </w:p>
          <w:p>
            <w:pPr>
              <w:jc w:val="center"/>
              <w:rPr>
                <w:rFonts w:ascii="方正小标宋简体" w:eastAsia="方正小标宋简体" w:cs="方正小标宋简体"/>
                <w:sz w:val="32"/>
                <w:szCs w:val="32"/>
                <w:vertAlign w:val="baseline"/>
                <w:lang w:val="en-US" w:eastAsia="zh-CN"/>
              </w:rPr>
            </w:pPr>
          </w:p>
          <w:p>
            <w:pPr>
              <w:pStyle w:val="2"/>
            </w:pPr>
          </w:p>
          <w:p/>
          <w:p>
            <w:pPr>
              <w:pStyle w:val="2"/>
            </w:pPr>
          </w:p>
          <w:p/>
          <w:p>
            <w:pPr>
              <w:pStyle w:val="2"/>
            </w:pPr>
          </w:p>
          <w:p/>
          <w:p>
            <w:pPr>
              <w:pStyle w:val="2"/>
            </w:pPr>
          </w:p>
          <w:p/>
          <w:p>
            <w:pPr>
              <w:pStyle w:val="2"/>
            </w:pPr>
          </w:p>
          <w:p/>
          <w:p>
            <w:pPr>
              <w:pStyle w:val="2"/>
            </w:pPr>
          </w:p>
          <w:p>
            <w:pPr>
              <w:pStyle w:val="2"/>
            </w:pPr>
          </w:p>
          <w:p/>
          <w:p>
            <w:pPr>
              <w:pStyle w:val="2"/>
            </w:pPr>
          </w:p>
          <w:p>
            <w:pPr>
              <w:keepNext w:val="0"/>
              <w:keepLines w:val="0"/>
              <w:pageBreakBefore w:val="0"/>
              <w:widowControl w:val="0"/>
              <w:kinsoku/>
              <w:wordWrap/>
              <w:overflowPunct/>
              <w:topLinePunct w:val="0"/>
              <w:autoSpaceDE/>
              <w:autoSpaceDN/>
              <w:adjustRightInd/>
              <w:snapToGrid/>
              <w:spacing w:line="300" w:lineRule="exact"/>
              <w:jc w:val="center"/>
              <w:rPr>
                <w:rFonts w:hint="eastAsia" w:ascii="黑体" w:eastAsia="黑体" w:cs="仿宋_GB2312"/>
                <w:color w:val="000000"/>
                <w:sz w:val="24"/>
              </w:rPr>
            </w:pPr>
            <w:r>
              <w:rPr>
                <w:rFonts w:hint="eastAsia" w:ascii="楷体" w:hAnsi="楷体" w:eastAsia="楷体" w:cs="楷体"/>
                <w:color w:val="000000"/>
                <w:sz w:val="24"/>
              </w:rPr>
              <w:t>（二）夯实七大基础，筑牢食品安全防线</w:t>
            </w:r>
          </w:p>
          <w:p>
            <w:pPr>
              <w:rPr>
                <w:rFonts w:hint="eastAsia"/>
              </w:rPr>
            </w:p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黑体" w:eastAsia="黑体" w:cs="黑体"/>
                <w:color w:val="000000"/>
                <w:sz w:val="24"/>
                <w:szCs w:val="24"/>
                <w:lang w:val="en-US" w:eastAsia="zh-CN"/>
              </w:rPr>
              <w:t>1.</w:t>
            </w:r>
            <w:r>
              <w:rPr>
                <w:rFonts w:hint="eastAsia" w:ascii="仿宋_GB2312" w:hAnsi="仿宋_GB2312" w:eastAsia="仿宋_GB2312" w:cs="仿宋_GB2312"/>
                <w:color w:val="000000"/>
                <w:sz w:val="24"/>
                <w:szCs w:val="24"/>
                <w:lang w:val="en-US" w:eastAsia="zh-CN"/>
              </w:rPr>
              <w:t>夯实党政同责基础。</w:t>
            </w:r>
            <w:r>
              <w:rPr>
                <w:rFonts w:hint="eastAsia" w:ascii="仿宋_GB2312" w:eastAsia="仿宋_GB2312" w:cs="仿宋_GB2312"/>
                <w:color w:val="000000"/>
                <w:sz w:val="24"/>
              </w:rPr>
              <w:t>落实食品安全属地管理责任，加强各级政府和管委会对食品安全工作的统一领导和组织协调，把食品安全作为“一把手”工程，纳入年度综合目标考核、纳入政府跟踪督办内容。认真贯彻落实《国务院食品安全委员会</w:t>
            </w:r>
            <w:r>
              <w:rPr>
                <w:rFonts w:hint="eastAsia" w:ascii="仿宋_GB2312" w:eastAsia="仿宋_GB2312" w:cs="仿宋_GB2312"/>
                <w:color w:val="000000"/>
                <w:sz w:val="24"/>
                <w:lang w:eastAsia="zh-CN"/>
              </w:rPr>
              <w:t>印发〈</w:t>
            </w:r>
            <w:r>
              <w:rPr>
                <w:rFonts w:hint="eastAsia" w:ascii="仿宋_GB2312" w:eastAsia="仿宋_GB2312" w:cs="仿宋_GB2312"/>
                <w:color w:val="000000"/>
                <w:sz w:val="24"/>
              </w:rPr>
              <w:t>关于建立健全分层分级精准防控末端发力终端见效工作机制 推动食品安全属地管理责任落地落实的意见</w:t>
            </w:r>
            <w:r>
              <w:rPr>
                <w:rFonts w:hint="eastAsia" w:ascii="仿宋_GB2312" w:eastAsia="仿宋_GB2312" w:cs="仿宋_GB2312"/>
                <w:color w:val="000000"/>
                <w:sz w:val="24"/>
                <w:lang w:eastAsia="zh-CN"/>
              </w:rPr>
              <w:t>〉的通知</w:t>
            </w:r>
            <w:r>
              <w:rPr>
                <w:rFonts w:hint="eastAsia" w:ascii="仿宋_GB2312" w:eastAsia="仿宋_GB2312" w:cs="仿宋_GB2312"/>
                <w:color w:val="000000"/>
                <w:sz w:val="24"/>
              </w:rPr>
              <w:t>》</w:t>
            </w:r>
            <w:r>
              <w:rPr>
                <w:rFonts w:hint="eastAsia" w:ascii="仿宋_GB2312" w:eastAsia="仿宋_GB2312" w:cs="仿宋_GB2312"/>
                <w:color w:val="000000"/>
                <w:sz w:val="24"/>
                <w:lang w:eastAsia="zh-CN"/>
              </w:rPr>
              <w:t>（食安委发〔</w:t>
            </w:r>
            <w:r>
              <w:rPr>
                <w:rFonts w:hint="eastAsia" w:ascii="仿宋_GB2312" w:eastAsia="仿宋_GB2312" w:cs="仿宋_GB2312"/>
                <w:color w:val="000000"/>
                <w:sz w:val="24"/>
                <w:lang w:val="en-US" w:eastAsia="zh-CN"/>
              </w:rPr>
              <w:t>2022</w:t>
            </w:r>
            <w:r>
              <w:rPr>
                <w:rFonts w:hint="eastAsia" w:ascii="仿宋_GB2312" w:eastAsia="仿宋_GB2312" w:cs="仿宋_GB2312"/>
                <w:color w:val="000000"/>
                <w:sz w:val="24"/>
                <w:lang w:eastAsia="zh-CN"/>
              </w:rPr>
              <w:t>〕</w:t>
            </w:r>
            <w:r>
              <w:rPr>
                <w:rFonts w:hint="eastAsia" w:ascii="仿宋_GB2312" w:eastAsia="仿宋_GB2312" w:cs="仿宋_GB2312"/>
                <w:color w:val="000000"/>
                <w:sz w:val="24"/>
                <w:lang w:val="en-US" w:eastAsia="zh-CN"/>
              </w:rPr>
              <w:t>7号）</w:t>
            </w:r>
            <w:r>
              <w:rPr>
                <w:rFonts w:hint="eastAsia" w:ascii="仿宋_GB2312" w:eastAsia="仿宋_GB2312" w:cs="仿宋_GB2312"/>
                <w:color w:val="000000"/>
                <w:sz w:val="24"/>
              </w:rPr>
              <w:t>，</w:t>
            </w:r>
            <w:r>
              <w:rPr>
                <w:rFonts w:hint="eastAsia" w:ascii="仿宋_GB2312" w:eastAsia="仿宋_GB2312" w:cs="仿宋_GB2312"/>
                <w:color w:val="000000"/>
                <w:sz w:val="24"/>
                <w:lang w:eastAsia="zh-CN"/>
              </w:rPr>
              <w:t>建立健全</w:t>
            </w:r>
            <w:r>
              <w:rPr>
                <w:rFonts w:hint="eastAsia" w:ascii="仿宋_GB2312" w:eastAsia="仿宋_GB2312" w:cs="仿宋_GB2312"/>
                <w:color w:val="000000"/>
                <w:sz w:val="24"/>
              </w:rPr>
              <w:t>市、县、乡、村四级领导包保食品安全工作机制。</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市政府食药安办、市政府食药安委</w:t>
            </w:r>
            <w:r>
              <w:rPr>
                <w:rFonts w:ascii="仿宋_GB2312" w:eastAsia="仿宋_GB2312" w:cs="仿宋_GB2312"/>
                <w:color w:val="000000"/>
                <w:sz w:val="24"/>
                <w:szCs w:val="24"/>
                <w:lang w:val="en-US" w:eastAsia="zh-CN"/>
              </w:rPr>
              <w:t>各</w:t>
            </w:r>
            <w:r>
              <w:rPr>
                <w:rFonts w:hint="eastAsia" w:ascii="仿宋_GB2312" w:eastAsia="仿宋_GB2312" w:cs="仿宋_GB2312"/>
                <w:color w:val="000000"/>
                <w:sz w:val="24"/>
                <w:szCs w:val="24"/>
                <w:lang w:val="en-US" w:eastAsia="zh-CN"/>
              </w:rPr>
              <w:t>委员单位</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黑体" w:eastAsia="黑体" w:cs="黑体"/>
                <w:color w:val="000000"/>
                <w:sz w:val="24"/>
                <w:szCs w:val="24"/>
                <w:lang w:val="en-US" w:eastAsia="zh-CN"/>
              </w:rPr>
              <w:t>2.</w:t>
            </w:r>
            <w:r>
              <w:rPr>
                <w:rFonts w:hint="eastAsia" w:ascii="仿宋_GB2312" w:hAnsi="仿宋_GB2312" w:eastAsia="仿宋_GB2312" w:cs="仿宋_GB2312"/>
                <w:b w:val="0"/>
                <w:bCs w:val="0"/>
                <w:color w:val="000000"/>
                <w:sz w:val="24"/>
                <w:szCs w:val="24"/>
                <w:lang w:val="en-US" w:eastAsia="zh-CN"/>
              </w:rPr>
              <w:t>夯实体制机制基础。</w:t>
            </w:r>
            <w:r>
              <w:rPr>
                <w:rFonts w:hint="eastAsia" w:ascii="仿宋_GB2312" w:eastAsia="仿宋_GB2312" w:cs="仿宋_GB2312"/>
                <w:color w:val="000000"/>
                <w:sz w:val="24"/>
              </w:rPr>
              <w:t>加强各级</w:t>
            </w:r>
            <w:r>
              <w:rPr>
                <w:rFonts w:hint="eastAsia" w:ascii="仿宋_GB2312" w:eastAsia="仿宋_GB2312" w:cs="仿宋_GB2312"/>
                <w:color w:val="000000"/>
                <w:sz w:val="24"/>
                <w:lang w:eastAsia="zh-CN"/>
              </w:rPr>
              <w:t>政府</w:t>
            </w:r>
            <w:r>
              <w:rPr>
                <w:rFonts w:hint="eastAsia" w:ascii="仿宋_GB2312" w:eastAsia="仿宋_GB2312" w:cs="仿宋_GB2312"/>
                <w:color w:val="000000"/>
                <w:sz w:val="24"/>
              </w:rPr>
              <w:t>食药安委及其办公室建设，建立健全信息通报、形势会商、风险交流等食品安全工作机制。</w:t>
            </w:r>
            <w:r>
              <w:rPr>
                <w:rFonts w:hint="eastAsia" w:ascii="仿宋_GB2312" w:eastAsia="仿宋_GB2312" w:cs="仿宋_GB2312"/>
                <w:color w:val="000000"/>
                <w:sz w:val="24"/>
                <w:lang w:val="en-US" w:eastAsia="zh-CN"/>
              </w:rPr>
              <w:t>强</w:t>
            </w:r>
            <w:r>
              <w:rPr>
                <w:rFonts w:hint="eastAsia" w:ascii="仿宋_GB2312" w:eastAsia="仿宋_GB2312" w:cs="仿宋_GB2312"/>
                <w:color w:val="000000"/>
                <w:sz w:val="24"/>
              </w:rPr>
              <w:t>化食药安委委员单位互通协作，完善落实行刑衔接等制度机制，探索建立“食品生产加工小作坊、小餐饮、食品摊贩”监管等配套制度，推进行业主管与部门监管风险协作机制，形成监管合力推动</w:t>
            </w:r>
            <w:r>
              <w:rPr>
                <w:rFonts w:hint="eastAsia" w:ascii="仿宋_GB2312" w:eastAsia="仿宋_GB2312" w:cs="仿宋_GB2312"/>
                <w:color w:val="000000"/>
                <w:sz w:val="24"/>
                <w:lang w:val="en-US" w:eastAsia="zh-CN"/>
              </w:rPr>
              <w:t>生产</w:t>
            </w:r>
            <w:r>
              <w:rPr>
                <w:rFonts w:hint="eastAsia" w:ascii="仿宋_GB2312" w:eastAsia="仿宋_GB2312" w:cs="仿宋_GB2312"/>
                <w:color w:val="000000"/>
                <w:sz w:val="24"/>
              </w:rPr>
              <w:t>经营者主体责任的落实。</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市政府食药安办、市市场监管局、市卫生健康局、市农业农村局、市粮食和储备局、市商务局、市公安局</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市法院、市检察院，各区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方正小标宋简体" w:eastAsia="方正小标宋简体" w:cs="方正小标宋简体"/>
                <w:sz w:val="32"/>
                <w:szCs w:val="32"/>
                <w:vertAlign w:val="baseline"/>
                <w:lang w:val="en-US" w:eastAsia="zh-CN"/>
              </w:rPr>
            </w:pPr>
            <w:r>
              <w:rPr>
                <w:rFonts w:hint="eastAsia" w:ascii="黑体" w:eastAsia="黑体" w:cs="黑体"/>
                <w:color w:val="000000"/>
                <w:sz w:val="24"/>
                <w:szCs w:val="24"/>
                <w:lang w:val="en-US" w:eastAsia="zh-CN"/>
              </w:rPr>
              <w:t>3.</w:t>
            </w:r>
            <w:r>
              <w:rPr>
                <w:rFonts w:hint="eastAsia" w:ascii="仿宋_GB2312" w:hAnsi="仿宋_GB2312" w:eastAsia="仿宋_GB2312" w:cs="仿宋_GB2312"/>
                <w:color w:val="000000"/>
                <w:sz w:val="24"/>
                <w:szCs w:val="24"/>
                <w:lang w:val="en-US" w:eastAsia="zh-CN"/>
              </w:rPr>
              <w:t>夯实队伍人才基础。</w:t>
            </w:r>
            <w:r>
              <w:rPr>
                <w:rFonts w:hint="eastAsia" w:ascii="仿宋_GB2312" w:eastAsia="仿宋_GB2312" w:cs="仿宋_GB2312"/>
                <w:color w:val="000000"/>
                <w:sz w:val="24"/>
                <w:szCs w:val="24"/>
                <w:lang w:val="en-US" w:eastAsia="zh-CN"/>
              </w:rPr>
              <w:t>推进基层监管单位标准化规范化建设，确保办公业务用房、执法车辆、检验检测设备等满足监管工作需要。加强监管队伍建设，市场监管部门及其派出机构将食品安全监管作为首要职责，食品安全监管人员的专业化比例达到70%以上，每年业务培训时间不低于40学时;公安机关进一步提升打击食品安全犯罪的专业化水平，强化办案保障；全面落实农产品质量安全属地管理责任，加强乡（镇）农产品质量安全监管队伍建设，给予农安监管工作充分保障。</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 xml:space="preserve"> 市市场监管局、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市农业农村局</w:t>
            </w:r>
          </w:p>
        </w:tc>
        <w:tc>
          <w:tcPr>
            <w:tcW w:w="232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市公安局、市财政局，各区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2630" w:type="dxa"/>
            <w:vMerge w:val="continue"/>
            <w:tcBorders>
              <w:top w:val="single" w:color="auto" w:sz="4" w:space="0"/>
              <w:left w:val="single" w:color="auto" w:sz="4" w:space="0"/>
              <w:bottom w:val="single" w:color="auto" w:sz="4" w:space="0"/>
              <w:right w:val="single" w:color="auto" w:sz="4" w:space="0"/>
            </w:tcBorders>
            <w:noWrap/>
            <w:vAlign w:val="center"/>
          </w:tc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黑体" w:eastAsia="黑体" w:cs="黑体"/>
                <w:color w:val="000000"/>
                <w:sz w:val="24"/>
                <w:szCs w:val="24"/>
                <w:lang w:val="en-US" w:eastAsia="zh-CN"/>
              </w:rPr>
              <w:t>4.</w:t>
            </w:r>
            <w:r>
              <w:rPr>
                <w:rFonts w:hint="eastAsia" w:ascii="仿宋_GB2312" w:hAnsi="仿宋_GB2312" w:eastAsia="仿宋_GB2312" w:cs="仿宋_GB2312"/>
                <w:color w:val="000000"/>
                <w:sz w:val="24"/>
                <w:szCs w:val="24"/>
                <w:lang w:val="en-US" w:eastAsia="zh-CN"/>
              </w:rPr>
              <w:t>夯实企业责任基础</w:t>
            </w:r>
            <w:r>
              <w:rPr>
                <w:rFonts w:hint="eastAsia" w:ascii="仿宋_GB2312" w:hAnsi="仿宋_GB2312" w:eastAsia="仿宋_GB2312" w:cs="仿宋_GB2312"/>
                <w:color w:val="000000"/>
                <w:sz w:val="24"/>
                <w:lang w:val="en-US" w:eastAsia="zh-CN"/>
              </w:rPr>
              <w:t>。</w:t>
            </w:r>
            <w:r>
              <w:rPr>
                <w:rFonts w:hint="eastAsia" w:ascii="仿宋_GB2312" w:eastAsia="仿宋_GB2312" w:cs="仿宋_GB2312"/>
                <w:color w:val="000000"/>
                <w:sz w:val="24"/>
                <w:lang w:val="en-US" w:eastAsia="zh-CN"/>
              </w:rPr>
              <w:t>督促食品生产经营企业按照《企业落实食品安全主体责任监督管理规定》(国家市场监督管理总局令第60号)的要求，</w:t>
            </w:r>
            <w:r>
              <w:rPr>
                <w:rFonts w:hint="eastAsia" w:ascii="仿宋_GB2312" w:eastAsia="仿宋_GB2312" w:cs="仿宋_GB2312"/>
                <w:color w:val="000000"/>
                <w:sz w:val="24"/>
              </w:rPr>
              <w:t>建立并落实食品安全管理制度，配备食品安全管理人员，对生产经营情况实施监督管控，确保产品符合食品安全标准，</w:t>
            </w:r>
            <w:r>
              <w:rPr>
                <w:rFonts w:hint="eastAsia" w:ascii="仿宋_GB2312" w:eastAsia="仿宋_GB2312" w:cs="仿宋_GB2312"/>
                <w:color w:val="000000"/>
                <w:sz w:val="24"/>
                <w:lang w:bidi="ar-SA"/>
              </w:rPr>
              <w:t>来源可查、去向可追。鼓励大型食品生产经营企业实施良好生产规范、危害分析与关键控制点等管理体系。引导食品生产经营企业开展诚信守法教育活动，建设诚信守法企业文化。</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市市场监管局</w:t>
            </w:r>
          </w:p>
        </w:tc>
        <w:tc>
          <w:tcPr>
            <w:tcW w:w="232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市发展改革委、市农业农村局、市教育局、市卫生健康局、市工业和信息化局、市民政局、市粮食和储备局、市商务局，各区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4"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黑体" w:eastAsia="黑体" w:cs="黑体"/>
                <w:color w:val="000000"/>
                <w:sz w:val="24"/>
                <w:szCs w:val="24"/>
                <w:lang w:val="en-US" w:eastAsia="zh-CN"/>
              </w:rPr>
              <w:t>5.</w:t>
            </w:r>
            <w:r>
              <w:rPr>
                <w:rFonts w:hint="eastAsia" w:ascii="仿宋_GB2312" w:hAnsi="仿宋_GB2312" w:eastAsia="仿宋_GB2312" w:cs="仿宋_GB2312"/>
                <w:color w:val="000000"/>
                <w:sz w:val="24"/>
                <w:szCs w:val="24"/>
                <w:lang w:val="en-US" w:eastAsia="zh-CN"/>
              </w:rPr>
              <w:t>夯实科技支撑基础。</w:t>
            </w:r>
            <w:r>
              <w:rPr>
                <w:rFonts w:hint="eastAsia" w:ascii="仿宋_GB2312" w:eastAsia="仿宋_GB2312" w:cs="仿宋_GB2312"/>
                <w:color w:val="000000"/>
                <w:sz w:val="24"/>
                <w:szCs w:val="24"/>
                <w:lang w:val="en-US" w:eastAsia="zh-CN"/>
              </w:rPr>
              <w:t>加强农产品质量安全检验检测体系建设，实施市县两级检验机构能力提升工程以及“双认证”。健全完善全市“1+5+N”（提升贵阳市食品药品检测中心检验检测能力为关键，指导全市5个大型农批市场快检室提升为重点，依托第三方检验检测为核心）的食品检验检测体系，充分发挥检验检测在食品安全监管中的“哨兵”作用，让监管跑在风险前面。坚持将食品安全纳入本地科技计划，加强食品安全领域科技创新，引导食品企业加大检验检测等科研投入，支持建设食品安全技术支撑机构或重点实验室、技术创新中心等，推动完善科技成果转化应用机制，不断提升食品产业核心竞争力。</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市市场监管局、市农业农村局、市商务局、市科技局、市财政局</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楷体_GB2312" w:eastAsia="楷体_GB2312" w:cs="楷体_GB2312"/>
                <w:color w:val="auto"/>
                <w:sz w:val="32"/>
                <w:szCs w:val="32"/>
                <w:lang w:val="en-US" w:eastAsia="zh-CN"/>
              </w:rPr>
            </w:pPr>
            <w:r>
              <w:rPr>
                <w:rFonts w:hint="eastAsia" w:ascii="仿宋_GB2312" w:eastAsia="仿宋_GB2312" w:cs="仿宋_GB2312"/>
                <w:color w:val="000000"/>
                <w:sz w:val="24"/>
                <w:szCs w:val="24"/>
                <w:lang w:val="en-US" w:eastAsia="zh-CN"/>
              </w:rPr>
              <w:t>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黑体" w:eastAsia="黑体" w:cs="黑体"/>
                <w:color w:val="000000"/>
                <w:sz w:val="24"/>
                <w:szCs w:val="24"/>
                <w:lang w:val="en-US" w:eastAsia="zh-CN"/>
              </w:rPr>
              <w:t>6.</w:t>
            </w:r>
            <w:r>
              <w:rPr>
                <w:rFonts w:hint="eastAsia" w:ascii="仿宋_GB2312" w:hAnsi="仿宋_GB2312" w:eastAsia="仿宋_GB2312" w:cs="仿宋_GB2312"/>
                <w:color w:val="000000"/>
                <w:sz w:val="24"/>
                <w:szCs w:val="24"/>
                <w:lang w:val="en-US" w:eastAsia="zh-CN"/>
              </w:rPr>
              <w:t>夯实产业发展基础。</w:t>
            </w:r>
            <w:r>
              <w:rPr>
                <w:rFonts w:hint="eastAsia" w:ascii="仿宋_GB2312" w:eastAsia="仿宋_GB2312" w:cs="仿宋_GB2312"/>
                <w:bCs/>
                <w:color w:val="000000"/>
                <w:sz w:val="24"/>
              </w:rPr>
              <w:t>指导</w:t>
            </w:r>
            <w:r>
              <w:rPr>
                <w:rFonts w:hint="eastAsia" w:ascii="仿宋_GB2312" w:eastAsia="仿宋_GB2312" w:cs="仿宋_GB2312"/>
                <w:color w:val="000000"/>
                <w:sz w:val="24"/>
              </w:rPr>
              <w:t>绿色食品、有机产品和</w:t>
            </w:r>
            <w:r>
              <w:rPr>
                <w:rFonts w:hint="eastAsia" w:ascii="仿宋_GB2312" w:eastAsia="仿宋_GB2312" w:cs="仿宋_GB2312"/>
                <w:color w:val="000000"/>
                <w:sz w:val="24"/>
                <w:lang w:bidi="ar-SA"/>
              </w:rPr>
              <w:t>地理标志的运用和监管。支持引导食品生产企业开展技术改造，持续推进食品生产加工小作坊升级改造，打造名特优食品作坊示范点。强化农贸市场常态长效管理，统筹推进食品安全规范化农贸市场和智慧农贸市场建设。充分发挥示范引领带动作用，以点带面促线带动食品安全管理和食品质量安全双提升。</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rPr>
              <w:t>市农业农村局、市市场监管局、市工业和信息化局、市粮食和储备局、市商务局</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市政府食药安委各委员单位，各区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黑体" w:eastAsia="黑体" w:cs="黑体"/>
                <w:color w:val="000000"/>
                <w:sz w:val="24"/>
                <w:szCs w:val="24"/>
                <w:lang w:val="en-US" w:eastAsia="zh-CN"/>
              </w:rPr>
              <w:t>7.</w:t>
            </w:r>
            <w:r>
              <w:rPr>
                <w:rFonts w:hint="eastAsia" w:ascii="仿宋_GB2312" w:hAnsi="仿宋_GB2312" w:eastAsia="仿宋_GB2312" w:cs="仿宋_GB2312"/>
                <w:color w:val="000000"/>
                <w:sz w:val="24"/>
                <w:szCs w:val="24"/>
                <w:lang w:val="en-US" w:eastAsia="zh-CN"/>
              </w:rPr>
              <w:t>夯实社会共治基础。</w:t>
            </w:r>
            <w:r>
              <w:rPr>
                <w:rFonts w:hint="eastAsia" w:ascii="仿宋_GB2312" w:eastAsia="仿宋_GB2312" w:cs="仿宋_GB2312"/>
                <w:color w:val="000000"/>
                <w:sz w:val="24"/>
              </w:rPr>
              <w:t>支持行业协会发展，充分发挥好行业自律作用。畅通食品安全投诉举报渠道，12315热线接通率达到85%以上。邀请人大代表、政协委员、新闻媒体等社会各界参与食品安全监督工作。创新宣传形式，充分运用新媒体资源开展食品安全“五进”（进社区、进学校、进农村、进企业、进商超）宣传活动。及时修订食品安全事故应急预案，完善事故调查、处置、报告和信息发布工作程序。</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rPr>
              <w:t>市委宣传部、市12345政务服务便民热线事务中心</w:t>
            </w:r>
            <w:r>
              <w:rPr>
                <w:rFonts w:ascii="仿宋_GB2312" w:eastAsia="仿宋_GB2312" w:cs="仿宋_GB2312"/>
                <w:color w:val="000000"/>
                <w:sz w:val="24"/>
              </w:rPr>
              <w:t>、</w:t>
            </w:r>
            <w:r>
              <w:rPr>
                <w:rFonts w:hint="eastAsia" w:ascii="仿宋_GB2312" w:eastAsia="仿宋_GB2312" w:cs="仿宋_GB2312"/>
                <w:color w:val="000000"/>
                <w:sz w:val="24"/>
              </w:rPr>
              <w:t>市市场监管局、市卫生健康局、市教育局、市商务局、市民政局、市科协</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市政府食药安委各委员单位，各区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63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adjustRightInd/>
              <w:snapToGrid/>
              <w:spacing w:line="300" w:lineRule="exact"/>
              <w:jc w:val="center"/>
              <w:rPr>
                <w:rFonts w:hint="eastAsia" w:ascii="方正小标宋简体" w:eastAsia="方正小标宋简体" w:cs="方正小标宋简体"/>
                <w:sz w:val="32"/>
                <w:szCs w:val="32"/>
                <w:vertAlign w:val="baseline"/>
                <w:lang w:val="en-US" w:eastAsia="zh-CN"/>
              </w:rPr>
            </w:pPr>
            <w:r>
              <w:rPr>
                <w:rFonts w:hint="eastAsia" w:ascii="楷体" w:hAnsi="楷体" w:eastAsia="楷体" w:cs="楷体"/>
                <w:color w:val="000000"/>
                <w:sz w:val="24"/>
                <w:lang w:val="en-US" w:eastAsia="zh-CN"/>
              </w:rPr>
              <w:t>（三）深入开展食品安全放心“十大行动”</w:t>
            </w: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黑体" w:eastAsia="黑体" w:cs="黑体"/>
                <w:color w:val="000000"/>
                <w:sz w:val="24"/>
                <w:szCs w:val="24"/>
                <w:lang w:val="en-US" w:eastAsia="zh-CN"/>
              </w:rPr>
              <w:t>1.</w:t>
            </w:r>
            <w:r>
              <w:rPr>
                <w:rFonts w:hint="eastAsia" w:ascii="仿宋_GB2312" w:hAnsi="仿宋_GB2312" w:eastAsia="仿宋_GB2312" w:cs="仿宋_GB2312"/>
                <w:color w:val="000000"/>
                <w:sz w:val="24"/>
                <w:szCs w:val="24"/>
                <w:lang w:val="en-US" w:eastAsia="zh-CN"/>
              </w:rPr>
              <w:t>农产品质量安全提升行动。</w:t>
            </w:r>
            <w:r>
              <w:rPr>
                <w:rFonts w:hint="eastAsia" w:ascii="仿宋_GB2312" w:eastAsia="仿宋_GB2312" w:cs="仿宋_GB2312"/>
                <w:color w:val="000000"/>
                <w:sz w:val="24"/>
                <w:szCs w:val="24"/>
                <w:lang w:val="en-US" w:eastAsia="zh-CN"/>
              </w:rPr>
              <w:t>强化源头治理，推行种养（殖）环节农业标准化生产；落实农药、兽药经营索证索票、一票通等制度。严格执行生猪定点屠宰制度；强化推进“三品一标”认证工作，大力推广绿色防控技术应用；强化生产过程全程监管和技术指导，落实生产经营主体法律责任；强化农畜产品质量安全监测抽检，消除农畜产品质量安全风险隐患。</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市农业农村局</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黑体" w:eastAsia="黑体" w:cs="黑体"/>
                <w:color w:val="000000"/>
                <w:sz w:val="24"/>
                <w:szCs w:val="24"/>
                <w:lang w:val="en-US" w:eastAsia="zh-CN"/>
              </w:rPr>
              <w:t>2.</w:t>
            </w:r>
            <w:r>
              <w:rPr>
                <w:rFonts w:hint="eastAsia" w:ascii="仿宋_GB2312" w:hAnsi="仿宋_GB2312" w:eastAsia="仿宋_GB2312" w:cs="仿宋_GB2312"/>
                <w:color w:val="000000"/>
                <w:sz w:val="24"/>
                <w:szCs w:val="24"/>
                <w:lang w:val="en-US" w:eastAsia="zh-CN"/>
              </w:rPr>
              <w:t>食品“三小”提升行动。</w:t>
            </w:r>
            <w:r>
              <w:rPr>
                <w:rFonts w:hint="eastAsia" w:ascii="仿宋_GB2312" w:eastAsia="仿宋_GB2312" w:cs="仿宋_GB2312"/>
                <w:color w:val="000000"/>
                <w:sz w:val="24"/>
              </w:rPr>
              <w:t>坚持疏堵结合，规范发展，综合整治食品生产加工小作坊、小餐饮和食品摊贩，</w:t>
            </w:r>
            <w:r>
              <w:rPr>
                <w:rFonts w:hint="eastAsia" w:ascii="仿宋_GB2312" w:eastAsia="仿宋_GB2312" w:cs="仿宋_GB2312"/>
                <w:color w:val="000000"/>
                <w:sz w:val="24"/>
                <w:lang w:eastAsia="zh-CN"/>
              </w:rPr>
              <w:t>严格落实</w:t>
            </w:r>
            <w:r>
              <w:rPr>
                <w:rFonts w:hint="eastAsia" w:ascii="仿宋_GB2312" w:eastAsia="仿宋_GB2312" w:cs="仿宋_GB2312"/>
                <w:color w:val="000000"/>
                <w:sz w:val="24"/>
              </w:rPr>
              <w:t>《市政府食药安办关于印发&lt;贵阳市食品摊贩备案管理指导意见&gt;的通知》（筑食药安办发〔2022〕5号）的规定。坚持“监管、规范、引导、便民”的基本原则，完善食品生产加工小作坊、小餐饮和食品摊贩相关配套机制和制度，推进提升改造。</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市政府食药安办</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市市场监管局、市综合行政执法局，各区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cs="仿宋_GB2312"/>
                <w:color w:val="000000"/>
                <w:sz w:val="24"/>
                <w:lang w:val="en-US" w:eastAsia="zh-CN"/>
              </w:rPr>
            </w:pPr>
            <w:r>
              <w:rPr>
                <w:rFonts w:hint="eastAsia" w:ascii="黑体" w:eastAsia="黑体" w:cs="黑体"/>
                <w:color w:val="000000"/>
                <w:sz w:val="24"/>
                <w:szCs w:val="24"/>
                <w:lang w:val="en-US" w:eastAsia="zh-CN"/>
              </w:rPr>
              <w:t>3.</w:t>
            </w:r>
            <w:r>
              <w:rPr>
                <w:rFonts w:hint="eastAsia" w:ascii="仿宋_GB2312" w:hAnsi="仿宋_GB2312" w:eastAsia="仿宋_GB2312" w:cs="仿宋_GB2312"/>
                <w:color w:val="000000"/>
                <w:sz w:val="24"/>
                <w:szCs w:val="24"/>
                <w:lang w:val="en-US" w:eastAsia="zh-CN"/>
              </w:rPr>
              <w:t>学校食堂及周边食品安全治理行动。</w:t>
            </w:r>
            <w:r>
              <w:rPr>
                <w:rFonts w:hint="eastAsia" w:ascii="仿宋_GB2312" w:eastAsia="仿宋_GB2312" w:cs="仿宋_GB2312"/>
                <w:color w:val="000000"/>
                <w:sz w:val="24"/>
              </w:rPr>
              <w:t>持续开展学校</w:t>
            </w:r>
            <w:r>
              <w:rPr>
                <w:rFonts w:hint="eastAsia" w:ascii="仿宋_GB2312" w:hAnsi="仿宋_GB2312" w:eastAsia="仿宋_GB2312" w:cs="仿宋_GB2312"/>
                <w:color w:val="000000"/>
                <w:sz w:val="24"/>
                <w:szCs w:val="24"/>
                <w:lang w:val="en-US" w:eastAsia="zh-CN"/>
              </w:rPr>
              <w:t>食堂</w:t>
            </w:r>
            <w:r>
              <w:rPr>
                <w:rFonts w:hint="eastAsia" w:ascii="仿宋_GB2312" w:eastAsia="仿宋_GB2312" w:cs="仿宋_GB2312"/>
                <w:color w:val="000000"/>
                <w:sz w:val="24"/>
              </w:rPr>
              <w:t>及</w:t>
            </w:r>
            <w:r>
              <w:rPr>
                <w:rFonts w:hint="eastAsia" w:ascii="仿宋_GB2312" w:eastAsia="仿宋_GB2312" w:cs="仿宋_GB2312"/>
                <w:color w:val="000000"/>
                <w:sz w:val="24"/>
                <w:lang w:val="en-US" w:eastAsia="zh-CN"/>
              </w:rPr>
              <w:t>周边食品安全综合整治，对学校食堂食品安全实行风险分级管理，加大对学校</w:t>
            </w:r>
            <w:r>
              <w:rPr>
                <w:rFonts w:hint="eastAsia" w:ascii="仿宋_GB2312" w:hAnsi="仿宋_GB2312" w:eastAsia="仿宋_GB2312" w:cs="仿宋_GB2312"/>
                <w:color w:val="000000"/>
                <w:sz w:val="24"/>
                <w:szCs w:val="24"/>
                <w:lang w:val="en-US" w:eastAsia="zh-CN"/>
              </w:rPr>
              <w:t>食堂</w:t>
            </w:r>
            <w:r>
              <w:rPr>
                <w:rFonts w:hint="eastAsia" w:ascii="仿宋_GB2312" w:eastAsia="仿宋_GB2312" w:cs="仿宋_GB2312"/>
                <w:color w:val="000000"/>
                <w:sz w:val="24"/>
                <w:lang w:val="en-US" w:eastAsia="zh-CN"/>
              </w:rPr>
              <w:t>及周边食品违法违规行为的打击力度，规范学校食堂及周边经营者经营行为。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市市场监管局</w:t>
            </w:r>
          </w:p>
        </w:tc>
        <w:tc>
          <w:tcPr>
            <w:tcW w:w="232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市教育局、市综合行政执法局，各区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黑体" w:eastAsia="黑体" w:cs="黑体"/>
                <w:color w:val="000000"/>
                <w:sz w:val="24"/>
                <w:szCs w:val="24"/>
                <w:lang w:val="en-US" w:eastAsia="zh-CN"/>
              </w:rPr>
              <w:t>4.</w:t>
            </w:r>
            <w:r>
              <w:rPr>
                <w:rFonts w:hint="eastAsia" w:ascii="仿宋_GB2312" w:hAnsi="仿宋_GB2312" w:eastAsia="仿宋_GB2312" w:cs="仿宋_GB2312"/>
                <w:color w:val="000000"/>
                <w:sz w:val="24"/>
                <w:szCs w:val="24"/>
                <w:lang w:val="en-US" w:eastAsia="zh-CN"/>
              </w:rPr>
              <w:t>整治餐厨废弃物行动。</w:t>
            </w:r>
            <w:r>
              <w:rPr>
                <w:rFonts w:hint="eastAsia" w:ascii="仿宋_GB2312" w:eastAsia="仿宋_GB2312" w:cs="仿宋_GB2312"/>
                <w:color w:val="000000"/>
                <w:sz w:val="24"/>
                <w:lang w:val="en-US" w:eastAsia="zh-CN"/>
              </w:rPr>
              <w:t>按照《贵阳市餐厨废弃物管理办法》强化城镇餐厨废弃物收运处理，提升餐厨废弃物集中无害化处置能力，持续推进餐厨废弃物资源化与无害化处理项目建设，2025年建成清镇餐厨废弃物处理项目；严厉打击非法收运、制售、使用地沟油等餐厨废弃物的行为。</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市综合行政执法局</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263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lang w:val="en-US" w:eastAsia="zh-CN"/>
              </w:rPr>
            </w:pPr>
          </w:p>
          <w:p>
            <w:pPr>
              <w:jc w:val="both"/>
              <w:rPr>
                <w:lang w:val="en-US" w:eastAsia="zh-CN"/>
              </w:rPr>
            </w:pPr>
          </w:p>
          <w:p>
            <w:pPr>
              <w:jc w:val="center"/>
              <w:rPr>
                <w:lang w:val="en-US" w:eastAsia="zh-CN"/>
              </w:rPr>
            </w:pPr>
          </w:p>
          <w:p>
            <w:pPr>
              <w:keepNext w:val="0"/>
              <w:keepLines w:val="0"/>
              <w:pageBreakBefore w:val="0"/>
              <w:widowControl w:val="0"/>
              <w:kinsoku/>
              <w:wordWrap/>
              <w:overflowPunct/>
              <w:topLinePunct w:val="0"/>
              <w:autoSpaceDE/>
              <w:autoSpaceDN/>
              <w:adjustRightInd/>
              <w:snapToGrid/>
              <w:spacing w:line="300" w:lineRule="exact"/>
              <w:jc w:val="center"/>
              <w:rPr>
                <w:rFonts w:hint="eastAsia" w:ascii="黑体" w:eastAsia="黑体" w:cs="仿宋_GB2312"/>
                <w:color w:val="000000"/>
                <w:sz w:val="24"/>
                <w:lang w:val="en-US" w:eastAsia="zh-CN"/>
              </w:rPr>
            </w:pPr>
            <w:r>
              <w:rPr>
                <w:rFonts w:hint="eastAsia" w:ascii="楷体" w:hAnsi="楷体" w:eastAsia="楷体" w:cs="楷体"/>
                <w:color w:val="000000"/>
                <w:sz w:val="24"/>
                <w:lang w:val="en-US" w:eastAsia="zh-CN"/>
              </w:rPr>
              <w:t>（三）深入开展食品安全放心“十大行动”</w:t>
            </w:r>
          </w:p>
          <w:p/>
          <w:p>
            <w:pPr>
              <w:pStyle w:val="2"/>
            </w:pPr>
          </w:p>
          <w:p/>
          <w:p>
            <w:pPr>
              <w:pStyle w:val="2"/>
            </w:pPr>
          </w:p>
          <w:p/>
          <w:p>
            <w:pPr>
              <w:pStyle w:val="2"/>
            </w:pPr>
          </w:p>
          <w:p/>
          <w:p>
            <w:pPr>
              <w:pStyle w:val="2"/>
            </w:pPr>
          </w:p>
          <w:p/>
          <w:p>
            <w:pPr>
              <w:pStyle w:val="2"/>
            </w:pPr>
          </w:p>
          <w:p/>
          <w:p>
            <w:pPr>
              <w:pStyle w:val="2"/>
            </w:pPr>
          </w:p>
          <w:p/>
          <w:p>
            <w:pPr>
              <w:pStyle w:val="2"/>
              <w:rPr>
                <w:rFonts w:hint="eastAsia" w:eastAsia="等线"/>
                <w:lang w:eastAsia="zh-CN"/>
              </w:rPr>
            </w:pPr>
          </w:p>
          <w:p>
            <w:pPr>
              <w:pStyle w:val="2"/>
              <w:jc w:val="left"/>
              <w:rPr>
                <w:rFonts w:hint="eastAsia" w:ascii="黑体" w:hAnsi="等线" w:eastAsia="黑体" w:cs="仿宋_GB2312"/>
                <w:color w:val="000000"/>
                <w:kern w:val="2"/>
                <w:sz w:val="24"/>
                <w:szCs w:val="22"/>
                <w:lang w:val="en-US" w:eastAsia="zh-CN" w:bidi="ar-SA"/>
              </w:rPr>
            </w:pPr>
          </w:p>
          <w:p>
            <w:pPr>
              <w:keepNext w:val="0"/>
              <w:keepLines w:val="0"/>
              <w:pageBreakBefore w:val="0"/>
              <w:widowControl w:val="0"/>
              <w:numPr>
                <w:ilvl w:val="0"/>
                <w:numId w:val="1"/>
              </w:numPr>
              <w:kinsoku/>
              <w:wordWrap/>
              <w:overflowPunct/>
              <w:topLinePunct w:val="0"/>
              <w:autoSpaceDE/>
              <w:autoSpaceDN/>
              <w:adjustRightInd/>
              <w:snapToGrid/>
              <w:spacing w:line="300" w:lineRule="exact"/>
              <w:jc w:val="left"/>
              <w:rPr>
                <w:rFonts w:hint="eastAsia" w:ascii="黑体" w:hAnsi="等线" w:eastAsia="黑体" w:cs="仿宋_GB2312"/>
                <w:color w:val="000000"/>
                <w:kern w:val="2"/>
                <w:sz w:val="24"/>
                <w:szCs w:val="22"/>
                <w:lang w:val="en-US" w:eastAsia="zh-CN" w:bidi="ar-SA"/>
              </w:rPr>
            </w:pPr>
            <w:r>
              <w:rPr>
                <w:rFonts w:hint="eastAsia" w:ascii="楷体" w:hAnsi="楷体" w:eastAsia="楷体" w:cs="楷体"/>
                <w:color w:val="000000"/>
                <w:kern w:val="2"/>
                <w:sz w:val="24"/>
                <w:szCs w:val="22"/>
                <w:lang w:val="en-US" w:eastAsia="zh-CN" w:bidi="ar-SA"/>
              </w:rPr>
              <w:t>深入开展食品安全放心“十大行动”</w:t>
            </w:r>
          </w:p>
          <w:p>
            <w:pPr>
              <w:pStyle w:val="2"/>
              <w:numPr>
                <w:ilvl w:val="0"/>
                <w:numId w:val="0"/>
              </w:numPr>
              <w:jc w:val="left"/>
              <w:rPr>
                <w:rFonts w:hint="eastAsia"/>
                <w:lang w:val="en-US" w:eastAsia="zh-CN"/>
              </w:rPr>
            </w:pPr>
          </w:p>
          <w:p>
            <w:pPr>
              <w:jc w:val="left"/>
              <w:rPr>
                <w:rFonts w:hint="eastAsia"/>
                <w:lang w:val="en-US" w:eastAsia="zh-CN"/>
              </w:rPr>
            </w:pPr>
          </w:p>
          <w:p>
            <w:pPr>
              <w:pStyle w:val="2"/>
              <w:jc w:val="left"/>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rPr>
            </w:pPr>
          </w:p>
          <w:p>
            <w:pPr>
              <w:rPr>
                <w:rFonts w:hint="eastAsia" w:ascii="黑体" w:eastAsia="黑体" w:cs="仿宋_GB2312"/>
                <w:color w:val="000000"/>
                <w:sz w:val="24"/>
                <w:lang w:val="en-US" w:eastAsia="zh-CN"/>
              </w:rPr>
            </w:pPr>
          </w:p>
          <w:p>
            <w:pPr>
              <w:rPr>
                <w:rFonts w:hint="eastAsia" w:ascii="黑体" w:eastAsia="黑体" w:cs="仿宋_GB2312"/>
                <w:color w:val="000000"/>
                <w:sz w:val="24"/>
                <w:lang w:val="en-US" w:eastAsia="zh-CN"/>
              </w:rPr>
            </w:pPr>
          </w:p>
          <w:p>
            <w:pPr>
              <w:rPr>
                <w:rFonts w:hint="eastAsia" w:ascii="黑体" w:eastAsia="黑体" w:cs="仿宋_GB2312"/>
                <w:color w:val="000000"/>
                <w:sz w:val="24"/>
                <w:lang w:val="en-US" w:eastAsia="zh-CN"/>
              </w:rPr>
            </w:pPr>
          </w:p>
          <w:p>
            <w:pPr>
              <w:rPr>
                <w:rFonts w:hint="eastAsia" w:ascii="黑体" w:eastAsia="黑体" w:cs="仿宋_GB2312"/>
                <w:color w:val="000000"/>
                <w:sz w:val="24"/>
                <w:lang w:val="en-US" w:eastAsia="zh-CN"/>
              </w:rPr>
            </w:pPr>
          </w:p>
          <w:p>
            <w:pPr>
              <w:rPr>
                <w:rFonts w:hint="eastAsia" w:ascii="黑体" w:eastAsia="黑体" w:cs="仿宋_GB2312"/>
                <w:color w:val="000000"/>
                <w:sz w:val="24"/>
                <w:lang w:val="en-US" w:eastAsia="zh-CN"/>
              </w:rPr>
            </w:pPr>
          </w:p>
          <w:p>
            <w:pPr>
              <w:pStyle w:val="2"/>
              <w:rPr>
                <w:rFonts w:hint="eastAsia" w:ascii="黑体" w:eastAsia="黑体" w:cs="仿宋_GB2312"/>
                <w:color w:val="000000"/>
                <w:sz w:val="24"/>
                <w:lang w:val="en-US" w:eastAsia="zh-CN"/>
              </w:rPr>
            </w:pPr>
          </w:p>
          <w:p>
            <w:pPr>
              <w:rPr>
                <w:rFonts w:hint="eastAsia" w:ascii="黑体" w:eastAsia="黑体" w:cs="仿宋_GB2312"/>
                <w:color w:val="000000"/>
                <w:sz w:val="24"/>
                <w:lang w:val="en-US" w:eastAsia="zh-CN"/>
              </w:rPr>
            </w:pPr>
          </w:p>
          <w:p>
            <w:pPr>
              <w:pStyle w:val="2"/>
              <w:rPr>
                <w:rFonts w:hint="eastAsia" w:ascii="黑体" w:eastAsia="黑体" w:cs="仿宋_GB2312"/>
                <w:color w:val="000000"/>
                <w:sz w:val="24"/>
                <w:lang w:val="en-US" w:eastAsia="zh-CN"/>
              </w:rPr>
            </w:pPr>
          </w:p>
          <w:p>
            <w:pPr>
              <w:rPr>
                <w:rFonts w:hint="eastAsia" w:ascii="黑体" w:eastAsia="黑体" w:cs="仿宋_GB2312"/>
                <w:color w:val="000000"/>
                <w:sz w:val="24"/>
                <w:lang w:val="en-US" w:eastAsia="zh-CN"/>
              </w:rPr>
            </w:pPr>
          </w:p>
          <w:p>
            <w:pPr>
              <w:pStyle w:val="2"/>
              <w:rPr>
                <w:rFonts w:hint="eastAsia" w:ascii="黑体" w:eastAsia="黑体" w:cs="仿宋_GB2312"/>
                <w:color w:val="000000"/>
                <w:sz w:val="24"/>
                <w:lang w:val="en-US" w:eastAsia="zh-CN"/>
              </w:rPr>
            </w:pPr>
          </w:p>
          <w:p>
            <w:pPr>
              <w:rPr>
                <w:rFonts w:hint="eastAsia" w:ascii="黑体" w:eastAsia="黑体" w:cs="仿宋_GB2312"/>
                <w:color w:val="000000"/>
                <w:sz w:val="24"/>
                <w:lang w:val="en-US" w:eastAsia="zh-CN"/>
              </w:rPr>
            </w:pPr>
          </w:p>
          <w:p>
            <w:pPr>
              <w:pStyle w:val="2"/>
              <w:rPr>
                <w:rFonts w:hint="eastAsia" w:ascii="黑体" w:eastAsia="黑体" w:cs="仿宋_GB2312"/>
                <w:color w:val="000000"/>
                <w:sz w:val="24"/>
                <w:lang w:val="en-US" w:eastAsia="zh-CN"/>
              </w:rPr>
            </w:pPr>
          </w:p>
          <w:p>
            <w:pPr>
              <w:rPr>
                <w:rFonts w:hint="eastAsia" w:ascii="黑体" w:eastAsia="黑体" w:cs="仿宋_GB2312"/>
                <w:color w:val="000000"/>
                <w:sz w:val="24"/>
                <w:lang w:val="en-US" w:eastAsia="zh-CN"/>
              </w:rPr>
            </w:pPr>
          </w:p>
          <w:p>
            <w:pPr>
              <w:pStyle w:val="2"/>
              <w:rPr>
                <w:rFonts w:hint="eastAsia"/>
                <w:lang w:val="en-US" w:eastAsia="zh-CN"/>
              </w:rPr>
            </w:pPr>
          </w:p>
          <w:p>
            <w:pPr>
              <w:rPr>
                <w:rFonts w:hint="eastAsia" w:ascii="黑体" w:eastAsia="黑体" w:cs="仿宋_GB2312"/>
                <w:color w:val="000000"/>
                <w:sz w:val="24"/>
                <w:lang w:val="en-US" w:eastAsia="zh-CN"/>
              </w:rPr>
            </w:pPr>
          </w:p>
          <w:p>
            <w:pPr>
              <w:rPr>
                <w:rFonts w:hint="eastAsia" w:ascii="黑体" w:eastAsia="黑体" w:cs="仿宋_GB2312"/>
                <w:color w:val="000000"/>
                <w:sz w:val="24"/>
                <w:lang w:val="en-US" w:eastAsia="zh-CN"/>
              </w:rPr>
            </w:pPr>
          </w:p>
          <w:p>
            <w:pPr>
              <w:rPr>
                <w:rFonts w:hint="eastAsia" w:ascii="黑体" w:eastAsia="黑体" w:cs="仿宋_GB2312"/>
                <w:color w:val="000000"/>
                <w:sz w:val="24"/>
                <w:lang w:val="en-US" w:eastAsia="zh-CN"/>
              </w:rPr>
            </w:pPr>
          </w:p>
          <w:p>
            <w:pPr>
              <w:rPr>
                <w:rFonts w:hint="eastAsia"/>
                <w:lang w:val="en-US" w:eastAsia="zh-CN"/>
              </w:rPr>
            </w:pPr>
            <w:r>
              <w:rPr>
                <w:rFonts w:hint="eastAsia" w:ascii="楷体" w:hAnsi="楷体" w:eastAsia="楷体" w:cs="楷体"/>
                <w:color w:val="000000"/>
                <w:sz w:val="24"/>
                <w:lang w:val="en-US" w:eastAsia="zh-CN"/>
              </w:rPr>
              <w:t>（三）深入开展食品安全放心“十大行动”</w:t>
            </w: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黑体" w:eastAsia="黑体" w:cs="黑体"/>
                <w:color w:val="000000"/>
                <w:sz w:val="24"/>
                <w:szCs w:val="24"/>
                <w:lang w:val="en-US" w:eastAsia="zh-CN"/>
              </w:rPr>
              <w:t>5.</w:t>
            </w:r>
            <w:r>
              <w:rPr>
                <w:rFonts w:hint="eastAsia" w:ascii="仿宋_GB2312" w:hAnsi="仿宋_GB2312" w:eastAsia="仿宋_GB2312" w:cs="仿宋_GB2312"/>
                <w:color w:val="000000"/>
                <w:sz w:val="24"/>
                <w:szCs w:val="24"/>
                <w:lang w:val="en-US" w:eastAsia="zh-CN"/>
              </w:rPr>
              <w:t>“互联网+明厨亮灶”提升行动。</w:t>
            </w:r>
            <w:r>
              <w:rPr>
                <w:rFonts w:hint="eastAsia" w:ascii="仿宋_GB2312" w:eastAsia="仿宋_GB2312" w:cs="仿宋_GB2312"/>
                <w:color w:val="000000"/>
                <w:sz w:val="24"/>
                <w:szCs w:val="24"/>
                <w:lang w:val="en-US" w:eastAsia="zh-CN"/>
              </w:rPr>
              <w:t>持续巩固提升“互联网+明厨亮灶”实施成果，力争2026年</w:t>
            </w:r>
            <w:r>
              <w:rPr>
                <w:rFonts w:ascii="仿宋_GB2312" w:eastAsia="仿宋_GB2312" w:cs="仿宋_GB2312"/>
                <w:color w:val="000000"/>
                <w:sz w:val="24"/>
                <w:szCs w:val="24"/>
                <w:lang w:val="en-US" w:eastAsia="zh-CN"/>
              </w:rPr>
              <w:t>前</w:t>
            </w:r>
            <w:r>
              <w:rPr>
                <w:rFonts w:hint="eastAsia" w:ascii="仿宋_GB2312" w:eastAsia="仿宋_GB2312" w:cs="仿宋_GB2312"/>
                <w:color w:val="000000"/>
                <w:sz w:val="24"/>
                <w:szCs w:val="24"/>
                <w:lang w:val="en-US" w:eastAsia="zh-CN"/>
              </w:rPr>
              <w:t>全市餐饮服务提供者“互联网+明厨亮灶”覆盖率明显提升，其中，中小学学校及幼儿园食堂“互联网+明厨亮灶”覆盖率持续达100％，校外供餐单位“互联网+明厨亮灶”覆盖率达100％，</w:t>
            </w:r>
            <w:r>
              <w:rPr>
                <w:rFonts w:ascii="仿宋_GB2312" w:eastAsia="仿宋_GB2312" w:cs="仿宋_GB2312"/>
                <w:color w:val="000000"/>
                <w:sz w:val="24"/>
                <w:szCs w:val="24"/>
                <w:lang w:val="en-US" w:eastAsia="zh-CN"/>
              </w:rPr>
              <w:t>探索</w:t>
            </w:r>
            <w:r>
              <w:rPr>
                <w:rFonts w:hint="eastAsia" w:ascii="仿宋_GB2312" w:eastAsia="仿宋_GB2312" w:cs="仿宋_GB2312"/>
                <w:color w:val="000000"/>
                <w:sz w:val="24"/>
                <w:szCs w:val="24"/>
                <w:lang w:val="en-US" w:eastAsia="zh-CN"/>
              </w:rPr>
              <w:t>入网餐饮服务提供者“明厨亮灶”</w:t>
            </w:r>
            <w:r>
              <w:rPr>
                <w:rFonts w:ascii="仿宋_GB2312" w:eastAsia="仿宋_GB2312" w:cs="仿宋_GB2312"/>
                <w:color w:val="000000"/>
                <w:sz w:val="24"/>
                <w:szCs w:val="24"/>
                <w:lang w:val="en-US" w:eastAsia="zh-CN"/>
              </w:rPr>
              <w:t>。</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市教育局、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市市场监管局</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suppressLineNumbers w:val="0"/>
              <w:suppressAutoHyphens w:val="0"/>
              <w:kinsoku/>
              <w:wordWrap/>
              <w:overflowPunct/>
              <w:topLinePunct w:val="0"/>
              <w:autoSpaceDE/>
              <w:autoSpaceDN/>
              <w:bidi w:val="0"/>
              <w:adjustRightInd/>
              <w:snapToGrid/>
              <w:spacing w:line="360" w:lineRule="exact"/>
              <w:textAlignment w:val="auto"/>
              <w:rPr>
                <w:rFonts w:hint="eastAsia" w:ascii="方正小标宋简体" w:eastAsia="方正小标宋简体" w:cs="方正小标宋简体"/>
                <w:sz w:val="32"/>
                <w:szCs w:val="32"/>
                <w:vertAlign w:val="baseline"/>
                <w:lang w:val="en-US" w:eastAsia="zh-CN"/>
              </w:rPr>
            </w:pPr>
            <w:r>
              <w:rPr>
                <w:rFonts w:hint="eastAsia" w:ascii="黑体" w:eastAsia="黑体" w:cs="黑体"/>
                <w:bCs/>
                <w:color w:val="000000"/>
                <w:sz w:val="24"/>
              </w:rPr>
              <w:t>6.</w:t>
            </w:r>
            <w:r>
              <w:rPr>
                <w:rFonts w:hint="eastAsia" w:ascii="仿宋_GB2312" w:hAnsi="仿宋_GB2312" w:eastAsia="仿宋_GB2312" w:cs="仿宋_GB2312"/>
                <w:bCs/>
                <w:color w:val="000000"/>
                <w:sz w:val="24"/>
              </w:rPr>
              <w:t>开展农贸市场食品安全规范管理行动。</w:t>
            </w:r>
            <w:r>
              <w:rPr>
                <w:rFonts w:hint="eastAsia" w:ascii="仿宋_GB2312" w:eastAsia="仿宋_GB2312" w:cs="仿宋_GB2312"/>
                <w:color w:val="000000"/>
                <w:sz w:val="24"/>
              </w:rPr>
              <w:t>根据《贵阳市农贸市场管理办法（试行）》规定，推行农贸市场食品安全管理规范化。</w:t>
            </w:r>
            <w:r>
              <w:rPr>
                <w:rFonts w:hint="eastAsia" w:ascii="仿宋_GB2312" w:eastAsia="仿宋_GB2312" w:cs="仿宋_GB2312"/>
                <w:color w:val="000000"/>
                <w:sz w:val="24"/>
                <w:lang w:val="en-US" w:eastAsia="zh-CN"/>
              </w:rPr>
              <w:t>食</w:t>
            </w:r>
            <w:r>
              <w:rPr>
                <w:rFonts w:hint="eastAsia" w:ascii="仿宋_GB2312" w:eastAsia="仿宋_GB2312" w:cs="仿宋_GB2312"/>
                <w:color w:val="000000"/>
                <w:sz w:val="24"/>
              </w:rPr>
              <w:t>用农产品集中交易市场开办者、食品批发市场开办者落实食品安全管理责任，建立健全食品安全管理制度，履行入场销售者登记、市场自查、信息公示、督促入场销售者依法依规从事销售活动等管理责任。</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市商务局、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eastAsia="方正小标宋简体" w:cs="方正小标宋简体"/>
                <w:sz w:val="32"/>
                <w:szCs w:val="32"/>
                <w:vertAlign w:val="baseline"/>
                <w:lang w:val="en-US" w:eastAsia="zh-CN"/>
              </w:rPr>
            </w:pPr>
            <w:r>
              <w:rPr>
                <w:rFonts w:ascii="仿宋_GB2312" w:eastAsia="仿宋_GB2312" w:cs="仿宋_GB2312"/>
                <w:color w:val="000000"/>
                <w:sz w:val="24"/>
                <w:szCs w:val="24"/>
                <w:lang w:val="en-US" w:eastAsia="zh-CN"/>
              </w:rPr>
              <w:t>市市场监管局</w:t>
            </w:r>
          </w:p>
        </w:tc>
        <w:tc>
          <w:tcPr>
            <w:tcW w:w="232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市综合行政执法局，各区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黑体" w:eastAsia="黑体" w:cs="黑体"/>
                <w:color w:val="000000"/>
                <w:sz w:val="24"/>
                <w:szCs w:val="24"/>
                <w:lang w:val="en-US" w:eastAsia="zh-CN"/>
              </w:rPr>
            </w:pPr>
            <w:r>
              <w:rPr>
                <w:rFonts w:ascii="黑体" w:eastAsia="黑体" w:cs="黑体"/>
                <w:color w:val="000000"/>
                <w:sz w:val="24"/>
                <w:szCs w:val="24"/>
                <w:lang w:val="en-US" w:eastAsia="zh-CN"/>
              </w:rPr>
              <w:t>7</w:t>
            </w:r>
            <w:r>
              <w:rPr>
                <w:rFonts w:hint="eastAsia" w:ascii="黑体" w:eastAsia="黑体" w:cs="黑体"/>
                <w:color w:val="000000"/>
                <w:sz w:val="24"/>
                <w:szCs w:val="24"/>
                <w:lang w:val="en-US" w:eastAsia="zh-CN"/>
              </w:rPr>
              <w:t>.</w:t>
            </w:r>
            <w:r>
              <w:rPr>
                <w:rFonts w:hint="eastAsia" w:ascii="仿宋_GB2312" w:hAnsi="仿宋_GB2312" w:eastAsia="仿宋_GB2312" w:cs="仿宋_GB2312"/>
                <w:color w:val="000000"/>
                <w:sz w:val="24"/>
                <w:szCs w:val="24"/>
                <w:highlight w:val="none"/>
                <w:lang w:val="en-US" w:eastAsia="zh-CN"/>
              </w:rPr>
              <w:t>提升特色文化小餐饮聚集区行动。</w:t>
            </w:r>
            <w:r>
              <w:rPr>
                <w:rFonts w:hint="eastAsia" w:ascii="仿宋_GB2312" w:eastAsia="仿宋_GB2312" w:cs="仿宋_GB2312"/>
                <w:color w:val="000000"/>
                <w:sz w:val="24"/>
                <w:szCs w:val="24"/>
                <w:highlight w:val="none"/>
                <w:lang w:val="en-US" w:eastAsia="zh-CN"/>
              </w:rPr>
              <w:t>以小餐饮聚集区</w:t>
            </w:r>
            <w:r>
              <w:rPr>
                <w:rFonts w:hint="eastAsia" w:ascii="仿宋_GB2312" w:eastAsia="仿宋_GB2312" w:cs="仿宋_GB2312"/>
                <w:color w:val="000000"/>
                <w:sz w:val="24"/>
                <w:szCs w:val="24"/>
                <w:lang w:val="en-US" w:eastAsia="zh-CN"/>
              </w:rPr>
              <w:t>（夜市）为切入点，探索“政府推动、部门指导、市场运作、公司管理”的原则，建立监督检查和巡视检查制度，明确监管职责，完善“三防”设施，组织夜市餐饮类摊贩从业人员的食品安全知识培训，统一审核发证，规范经营管理秩序。积极引导餐饮企业转变观念,形成制度化、标准化、程序化管理模式，围绕“产业集群化、环境优美化、改造透明化、</w:t>
            </w:r>
            <w:r>
              <w:rPr>
                <w:rFonts w:ascii="仿宋_GB2312" w:eastAsia="仿宋_GB2312" w:cs="仿宋_GB2312"/>
                <w:color w:val="000000"/>
                <w:sz w:val="24"/>
                <w:szCs w:val="24"/>
                <w:lang w:val="en-US" w:eastAsia="zh-CN"/>
              </w:rPr>
              <w:t>管理</w:t>
            </w:r>
            <w:r>
              <w:rPr>
                <w:rFonts w:hint="eastAsia" w:ascii="仿宋_GB2312" w:eastAsia="仿宋_GB2312" w:cs="仿宋_GB2312"/>
                <w:color w:val="000000"/>
                <w:sz w:val="24"/>
                <w:szCs w:val="24"/>
                <w:lang w:val="en-US" w:eastAsia="zh-CN"/>
              </w:rPr>
              <w:t>标准化、监管现代化”的思路，引导小餐饮经营由室外到室内，由分散到集中，全面优化就餐环境，实现“明厨亮灶”。</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市市场监管局、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市商务局、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市综合行政执法局</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eastAsia="黑体" w:cs="黑体"/>
                <w:color w:val="000000"/>
                <w:sz w:val="24"/>
                <w:szCs w:val="24"/>
                <w:lang w:val="en-US" w:eastAsia="zh-CN"/>
              </w:rPr>
            </w:pPr>
            <w:r>
              <w:rPr>
                <w:rFonts w:ascii="黑体" w:eastAsia="黑体" w:cs="黑体"/>
                <w:color w:val="000000"/>
                <w:sz w:val="24"/>
                <w:szCs w:val="24"/>
                <w:lang w:val="en-US" w:eastAsia="zh-CN"/>
              </w:rPr>
              <w:t>8</w:t>
            </w:r>
            <w:r>
              <w:rPr>
                <w:rFonts w:hint="eastAsia" w:ascii="黑体" w:eastAsia="黑体" w:cs="黑体"/>
                <w:color w:val="000000"/>
                <w:sz w:val="24"/>
                <w:szCs w:val="24"/>
                <w:lang w:val="en-US" w:eastAsia="zh-CN"/>
              </w:rPr>
              <w:t>.</w:t>
            </w:r>
            <w:r>
              <w:rPr>
                <w:rFonts w:hint="eastAsia" w:ascii="仿宋_GB2312" w:hAnsi="仿宋_GB2312" w:eastAsia="仿宋_GB2312" w:cs="仿宋_GB2312"/>
                <w:color w:val="000000"/>
                <w:sz w:val="24"/>
                <w:szCs w:val="24"/>
                <w:lang w:val="en-US" w:eastAsia="zh-CN"/>
              </w:rPr>
              <w:t>食品安全知识普及巩固行动。</w:t>
            </w:r>
            <w:r>
              <w:rPr>
                <w:rFonts w:hint="eastAsia" w:ascii="仿宋_GB2312" w:eastAsia="仿宋_GB2312" w:cs="仿宋_GB2312"/>
                <w:color w:val="000000"/>
                <w:sz w:val="24"/>
              </w:rPr>
              <w:t>加大食品安全宣传力度，营造浓厚巩固国家食品安全示范城市创建成果氛围，继续办好微信公众号宣传等食品安全专题栏目。开展食品安全进社区、进学校、进农村、进企业、进商超等基层宣传活动。加强中小学生食品安全与营养健康宣传教育，在全国食品安全宣传周、全民营养周、中国学生营养日、全国碘缺乏病防治日等重要时间节点，开展相关科学知识普及和宣传教育活动。</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市委宣传部、市政府食药安办、市教育局、市农业农村局、市文化和旅游局、市卫生健康局、市科协、筑城海关、机场海关、贵安</w:t>
            </w:r>
            <w:r>
              <w:rPr>
                <w:rFonts w:ascii="仿宋_GB2312" w:eastAsia="仿宋_GB2312" w:cs="仿宋_GB2312"/>
                <w:color w:val="000000"/>
                <w:sz w:val="24"/>
                <w:szCs w:val="24"/>
                <w:lang w:val="en-US" w:eastAsia="zh-CN"/>
              </w:rPr>
              <w:t>新区</w:t>
            </w:r>
            <w:r>
              <w:rPr>
                <w:rFonts w:hint="eastAsia" w:ascii="仿宋_GB2312" w:eastAsia="仿宋_GB2312" w:cs="仿宋_GB2312"/>
                <w:color w:val="000000"/>
                <w:sz w:val="24"/>
                <w:szCs w:val="24"/>
                <w:lang w:val="en-US" w:eastAsia="zh-CN"/>
              </w:rPr>
              <w:t>海关</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市政府食药安委各委员单位，各区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eastAsia="黑体" w:cs="黑体"/>
                <w:color w:val="000000"/>
                <w:sz w:val="24"/>
                <w:szCs w:val="24"/>
                <w:lang w:val="en-US" w:eastAsia="zh-CN"/>
              </w:rPr>
            </w:pPr>
            <w:r>
              <w:rPr>
                <w:rFonts w:ascii="黑体" w:eastAsia="黑体" w:cs="黑体"/>
                <w:color w:val="000000"/>
                <w:sz w:val="24"/>
                <w:szCs w:val="24"/>
                <w:lang w:val="en-US" w:eastAsia="zh-CN"/>
              </w:rPr>
              <w:t>9</w:t>
            </w:r>
            <w:r>
              <w:rPr>
                <w:rFonts w:hint="eastAsia" w:ascii="黑体" w:eastAsia="黑体" w:cs="黑体"/>
                <w:color w:val="000000"/>
                <w:sz w:val="24"/>
                <w:szCs w:val="24"/>
                <w:lang w:val="en-US" w:eastAsia="zh-CN"/>
              </w:rPr>
              <w:t>.</w:t>
            </w:r>
            <w:r>
              <w:rPr>
                <w:rFonts w:hint="eastAsia" w:ascii="仿宋_GB2312" w:hAnsi="仿宋_GB2312" w:eastAsia="仿宋_GB2312" w:cs="仿宋_GB2312"/>
                <w:color w:val="000000"/>
                <w:sz w:val="24"/>
                <w:szCs w:val="24"/>
                <w:lang w:val="en-US" w:eastAsia="zh-CN"/>
              </w:rPr>
              <w:t>严厉打击涉食违法系列专项行动。</w:t>
            </w:r>
            <w:r>
              <w:rPr>
                <w:rFonts w:hint="eastAsia" w:ascii="仿宋_GB2312" w:eastAsia="仿宋_GB2312" w:cs="仿宋_GB2312"/>
                <w:color w:val="000000"/>
                <w:sz w:val="24"/>
                <w:szCs w:val="24"/>
                <w:lang w:val="en-US" w:eastAsia="zh-CN"/>
              </w:rPr>
              <w:t>坚持重拳出击、重典治乱。严厉打击超范围、超限量使用食品添加剂、非法添加及制假售假违法行为。严惩重处食品安全违法犯罪行为，铲除一批制假售假“黑窝点”，查处一批在社会上有影响的大案要案。对发现的食品安全问题及时立案查办，对构成犯罪的案件要坚决移送公安机关，实现食品安全案件行政处罚和刑事处罚无缝对接。</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市市场监管局、市公安局、市农业农村局、市粮食和储备局</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市政府食药安委有关委员单位，各区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trPr>
        <w:tc>
          <w:tcPr>
            <w:tcW w:w="2630" w:type="dxa"/>
            <w:vMerge w:val="continue"/>
            <w:tcBorders>
              <w:top w:val="single" w:color="auto" w:sz="4" w:space="0"/>
              <w:left w:val="single" w:color="auto" w:sz="4" w:space="0"/>
              <w:bottom w:val="single" w:color="auto" w:sz="4" w:space="0"/>
              <w:right w:val="single" w:color="auto" w:sz="4" w:space="0"/>
            </w:tcBorders>
            <w:noWrap/>
          </w:tcPr>
          <w:p/>
        </w:tc>
        <w:tc>
          <w:tcPr>
            <w:tcW w:w="63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eastAsia="黑体" w:cs="黑体"/>
                <w:color w:val="000000"/>
                <w:sz w:val="24"/>
                <w:szCs w:val="24"/>
                <w:lang w:val="en-US" w:eastAsia="zh-CN"/>
              </w:rPr>
            </w:pPr>
            <w:r>
              <w:rPr>
                <w:rFonts w:hint="eastAsia" w:ascii="黑体" w:eastAsia="黑体" w:cs="黑体"/>
                <w:bCs/>
                <w:color w:val="000000"/>
                <w:sz w:val="24"/>
              </w:rPr>
              <w:t>10.</w:t>
            </w:r>
            <w:r>
              <w:rPr>
                <w:rFonts w:hint="eastAsia" w:ascii="仿宋_GB2312" w:hAnsi="仿宋_GB2312" w:eastAsia="仿宋_GB2312" w:cs="仿宋_GB2312"/>
                <w:bCs/>
                <w:color w:val="000000"/>
                <w:sz w:val="24"/>
              </w:rPr>
              <w:t>持续巩固提升食品安全守护行动。</w:t>
            </w:r>
            <w:r>
              <w:rPr>
                <w:rFonts w:hint="eastAsia" w:ascii="仿宋_GB2312" w:eastAsia="仿宋_GB2312" w:cs="仿宋_GB2312"/>
                <w:color w:val="000000"/>
                <w:sz w:val="24"/>
              </w:rPr>
              <w:t>结合辖区实际，围绕上级的工作部署和要求，在重要时段、重点区域，采取日常监管+专项整治行动相结合的方式，持续打造“一区一特”的创新监管模式，按照每月工作重点，扎实开展好“食安护佳节”和“当好食品安全守夜人”等</w:t>
            </w:r>
            <w:r>
              <w:rPr>
                <w:rFonts w:hint="eastAsia" w:ascii="仿宋_GB2312" w:eastAsia="仿宋_GB2312" w:cs="仿宋_GB2312"/>
                <w:color w:val="000000"/>
                <w:sz w:val="24"/>
                <w:lang w:val="en-US" w:eastAsia="zh-CN"/>
              </w:rPr>
              <w:t>工作</w:t>
            </w:r>
            <w:r>
              <w:rPr>
                <w:rFonts w:hint="eastAsia" w:ascii="仿宋_GB2312" w:eastAsia="仿宋_GB2312" w:cs="仿宋_GB2312"/>
                <w:color w:val="000000"/>
                <w:sz w:val="24"/>
              </w:rPr>
              <w:t>。</w:t>
            </w:r>
          </w:p>
        </w:tc>
        <w:tc>
          <w:tcPr>
            <w:tcW w:w="236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市市场监管局、市商务局、市农业农村局、市粮食和储备局</w:t>
            </w:r>
          </w:p>
        </w:tc>
        <w:tc>
          <w:tcPr>
            <w:tcW w:w="2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小标宋简体" w:eastAsia="方正小标宋简体" w:cs="方正小标宋简体"/>
                <w:sz w:val="32"/>
                <w:szCs w:val="32"/>
                <w:vertAlign w:val="baseline"/>
                <w:lang w:val="en-US" w:eastAsia="zh-CN"/>
              </w:rPr>
            </w:pPr>
            <w:r>
              <w:rPr>
                <w:rFonts w:hint="eastAsia" w:ascii="仿宋_GB2312" w:eastAsia="仿宋_GB2312" w:cs="仿宋_GB2312"/>
                <w:color w:val="000000"/>
                <w:sz w:val="24"/>
                <w:szCs w:val="24"/>
                <w:lang w:val="en-US" w:eastAsia="zh-CN"/>
              </w:rPr>
              <w:t>市公安局、市政府食药安委有关委员单位，各区</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市、县</w:t>
            </w:r>
            <w:r>
              <w:rPr>
                <w:rFonts w:ascii="仿宋_GB2312" w:eastAsia="仿宋_GB2312" w:cs="仿宋_GB2312"/>
                <w:color w:val="000000"/>
                <w:sz w:val="24"/>
                <w:szCs w:val="24"/>
                <w:lang w:val="en-US" w:eastAsia="zh-CN"/>
              </w:rPr>
              <w:t>）</w:t>
            </w:r>
            <w:r>
              <w:rPr>
                <w:rFonts w:hint="eastAsia" w:ascii="仿宋_GB2312" w:eastAsia="仿宋_GB2312" w:cs="仿宋_GB2312"/>
                <w:color w:val="000000"/>
                <w:sz w:val="24"/>
                <w:szCs w:val="24"/>
                <w:lang w:val="en-US" w:eastAsia="zh-CN"/>
              </w:rPr>
              <w:t>政府，高新开发区、经济技术开发区、贵州双龙航空港经济区管委会）</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sectPr>
      <w:footerReference r:id="rId3" w:type="default"/>
      <w:pgSz w:w="16838" w:h="11906" w:orient="landscape"/>
      <w:pgMar w:top="1588" w:right="1588"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905970-DA23-443C-B719-276C4B08A7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FD507E0-5360-465E-AD5B-0C5910CFB05E}"/>
  </w:font>
  <w:font w:name="方正小标宋简体">
    <w:panose1 w:val="02000000000000000000"/>
    <w:charset w:val="86"/>
    <w:family w:val="script"/>
    <w:pitch w:val="default"/>
    <w:sig w:usb0="00000001" w:usb1="08000000" w:usb2="00000000" w:usb3="00000000" w:csb0="00040000" w:csb1="00000000"/>
    <w:embedRegular r:id="rId3" w:fontKey="{05EDB1E6-8036-4648-A94B-DD6ABF1842E5}"/>
  </w:font>
  <w:font w:name="楷体">
    <w:panose1 w:val="02010609060101010101"/>
    <w:charset w:val="86"/>
    <w:family w:val="auto"/>
    <w:pitch w:val="default"/>
    <w:sig w:usb0="800002BF" w:usb1="38CF7CFA" w:usb2="00000016" w:usb3="00000000" w:csb0="00040001" w:csb1="00000000"/>
    <w:embedRegular r:id="rId4" w:fontKey="{3709350C-B8F8-4699-BFB6-687D5CB32424}"/>
  </w:font>
  <w:font w:name="仿宋_GB2312">
    <w:altName w:val="仿宋"/>
    <w:panose1 w:val="02010609030101010101"/>
    <w:charset w:val="86"/>
    <w:family w:val="modern"/>
    <w:pitch w:val="default"/>
    <w:sig w:usb0="00000000" w:usb1="00000000" w:usb2="00000000" w:usb3="00000000" w:csb0="00040000" w:csb1="00000000"/>
    <w:embedRegular r:id="rId5" w:fontKey="{DD528263-AE1C-49E2-AE64-459FA6095E40}"/>
  </w:font>
  <w:font w:name="楷体_GB2312">
    <w:altName w:val="楷体"/>
    <w:panose1 w:val="02010609030101010101"/>
    <w:charset w:val="86"/>
    <w:family w:val="modern"/>
    <w:pitch w:val="default"/>
    <w:sig w:usb0="00000000" w:usb1="00000000" w:usb2="00000000" w:usb3="00000000" w:csb0="00040000" w:csb1="00000000"/>
    <w:embedRegular r:id="rId6" w:fontKey="{6F007C24-69E0-4669-9719-BBC8DF8E2D2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EE9AD"/>
    <w:multiLevelType w:val="singleLevel"/>
    <w:tmpl w:val="E8EEE9AD"/>
    <w:lvl w:ilvl="0" w:tentative="0">
      <w:start w:val="3"/>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xZTJlOWJiZjE1ZDk1ZDVkNmVjZTQzZjMwYmZhOTcifQ=="/>
    <w:docVar w:name="KSO_WPS_MARK_KEY" w:val="41af0cf8-339e-4045-9525-6144c8108ee1"/>
  </w:docVars>
  <w:rsids>
    <w:rsidRoot w:val="009B68EE"/>
    <w:rsid w:val="00012C1A"/>
    <w:rsid w:val="00014DBA"/>
    <w:rsid w:val="000726A2"/>
    <w:rsid w:val="000932B8"/>
    <w:rsid w:val="000949B7"/>
    <w:rsid w:val="000A10E5"/>
    <w:rsid w:val="000A2AFC"/>
    <w:rsid w:val="000B187D"/>
    <w:rsid w:val="000F5E50"/>
    <w:rsid w:val="000F6215"/>
    <w:rsid w:val="00116D98"/>
    <w:rsid w:val="001332CD"/>
    <w:rsid w:val="00215F48"/>
    <w:rsid w:val="002235CA"/>
    <w:rsid w:val="00236A13"/>
    <w:rsid w:val="00236E1F"/>
    <w:rsid w:val="002460D2"/>
    <w:rsid w:val="002461E9"/>
    <w:rsid w:val="00251D09"/>
    <w:rsid w:val="002D5FEA"/>
    <w:rsid w:val="00301675"/>
    <w:rsid w:val="00307DFC"/>
    <w:rsid w:val="0032337F"/>
    <w:rsid w:val="00353371"/>
    <w:rsid w:val="00355909"/>
    <w:rsid w:val="003A5872"/>
    <w:rsid w:val="003E6FFF"/>
    <w:rsid w:val="004427BB"/>
    <w:rsid w:val="00477123"/>
    <w:rsid w:val="00482344"/>
    <w:rsid w:val="004E67C7"/>
    <w:rsid w:val="004F0B0E"/>
    <w:rsid w:val="00562F4B"/>
    <w:rsid w:val="005817FC"/>
    <w:rsid w:val="00581EA4"/>
    <w:rsid w:val="005A501C"/>
    <w:rsid w:val="005C281E"/>
    <w:rsid w:val="005D2339"/>
    <w:rsid w:val="005E2626"/>
    <w:rsid w:val="005F037B"/>
    <w:rsid w:val="006129A1"/>
    <w:rsid w:val="00615326"/>
    <w:rsid w:val="006357C1"/>
    <w:rsid w:val="00681FB6"/>
    <w:rsid w:val="006A6CA6"/>
    <w:rsid w:val="006E76AA"/>
    <w:rsid w:val="00705A48"/>
    <w:rsid w:val="00723227"/>
    <w:rsid w:val="00725328"/>
    <w:rsid w:val="00751713"/>
    <w:rsid w:val="007577CD"/>
    <w:rsid w:val="007609B0"/>
    <w:rsid w:val="00762FE6"/>
    <w:rsid w:val="00767212"/>
    <w:rsid w:val="00770ABF"/>
    <w:rsid w:val="007A3363"/>
    <w:rsid w:val="007B0549"/>
    <w:rsid w:val="007E13C8"/>
    <w:rsid w:val="00810D46"/>
    <w:rsid w:val="00823DCA"/>
    <w:rsid w:val="008953F8"/>
    <w:rsid w:val="008A6BC0"/>
    <w:rsid w:val="008C0EA9"/>
    <w:rsid w:val="008D556B"/>
    <w:rsid w:val="008F563F"/>
    <w:rsid w:val="00923900"/>
    <w:rsid w:val="00925B01"/>
    <w:rsid w:val="00942DED"/>
    <w:rsid w:val="0094560C"/>
    <w:rsid w:val="00946FD1"/>
    <w:rsid w:val="009B4939"/>
    <w:rsid w:val="009B68EE"/>
    <w:rsid w:val="009B7284"/>
    <w:rsid w:val="009C337D"/>
    <w:rsid w:val="009E0FAC"/>
    <w:rsid w:val="00A04350"/>
    <w:rsid w:val="00A52206"/>
    <w:rsid w:val="00A54E5E"/>
    <w:rsid w:val="00A56E8E"/>
    <w:rsid w:val="00A62CF8"/>
    <w:rsid w:val="00A735EF"/>
    <w:rsid w:val="00AC5FE6"/>
    <w:rsid w:val="00AF4CE8"/>
    <w:rsid w:val="00B03F79"/>
    <w:rsid w:val="00B36842"/>
    <w:rsid w:val="00B61716"/>
    <w:rsid w:val="00BC1E61"/>
    <w:rsid w:val="00BC6FBA"/>
    <w:rsid w:val="00C0423E"/>
    <w:rsid w:val="00C1422C"/>
    <w:rsid w:val="00C209F7"/>
    <w:rsid w:val="00C21163"/>
    <w:rsid w:val="00C478B5"/>
    <w:rsid w:val="00CA7F59"/>
    <w:rsid w:val="00CF45B2"/>
    <w:rsid w:val="00D924E9"/>
    <w:rsid w:val="00DB1974"/>
    <w:rsid w:val="00DB3559"/>
    <w:rsid w:val="00DB7689"/>
    <w:rsid w:val="00DF2C44"/>
    <w:rsid w:val="00E11251"/>
    <w:rsid w:val="00E47D5D"/>
    <w:rsid w:val="00E75A76"/>
    <w:rsid w:val="00EA4A1D"/>
    <w:rsid w:val="00F0418A"/>
    <w:rsid w:val="00F115D6"/>
    <w:rsid w:val="00FD4B11"/>
    <w:rsid w:val="012D66CB"/>
    <w:rsid w:val="01401F5A"/>
    <w:rsid w:val="014A2DD9"/>
    <w:rsid w:val="019404F8"/>
    <w:rsid w:val="01995B0E"/>
    <w:rsid w:val="01C20BC1"/>
    <w:rsid w:val="01C74429"/>
    <w:rsid w:val="01FA65AD"/>
    <w:rsid w:val="02093483"/>
    <w:rsid w:val="023F66B6"/>
    <w:rsid w:val="02A209F3"/>
    <w:rsid w:val="039A43CF"/>
    <w:rsid w:val="041D2A27"/>
    <w:rsid w:val="042518DB"/>
    <w:rsid w:val="04DF3C4E"/>
    <w:rsid w:val="052F2A11"/>
    <w:rsid w:val="05A21435"/>
    <w:rsid w:val="05A827C4"/>
    <w:rsid w:val="05B41DF3"/>
    <w:rsid w:val="05D15877"/>
    <w:rsid w:val="05E25CD6"/>
    <w:rsid w:val="06E93094"/>
    <w:rsid w:val="06F85085"/>
    <w:rsid w:val="07110E11"/>
    <w:rsid w:val="072369A3"/>
    <w:rsid w:val="074107DA"/>
    <w:rsid w:val="0748600C"/>
    <w:rsid w:val="078A2181"/>
    <w:rsid w:val="079052BE"/>
    <w:rsid w:val="08017F69"/>
    <w:rsid w:val="08031F33"/>
    <w:rsid w:val="08167EB9"/>
    <w:rsid w:val="08664DC4"/>
    <w:rsid w:val="08F63846"/>
    <w:rsid w:val="08FA1588"/>
    <w:rsid w:val="09167A44"/>
    <w:rsid w:val="09212671"/>
    <w:rsid w:val="094445B2"/>
    <w:rsid w:val="096D1D5A"/>
    <w:rsid w:val="09722ECD"/>
    <w:rsid w:val="098B3F8E"/>
    <w:rsid w:val="09A41A2D"/>
    <w:rsid w:val="09D04097"/>
    <w:rsid w:val="09ED770C"/>
    <w:rsid w:val="09F558AC"/>
    <w:rsid w:val="0A081A83"/>
    <w:rsid w:val="0B6718D7"/>
    <w:rsid w:val="0B712DDC"/>
    <w:rsid w:val="0C1B5A9E"/>
    <w:rsid w:val="0C5114BF"/>
    <w:rsid w:val="0C5B0590"/>
    <w:rsid w:val="0C69531A"/>
    <w:rsid w:val="0C7B653C"/>
    <w:rsid w:val="0CB101B0"/>
    <w:rsid w:val="0CC872A8"/>
    <w:rsid w:val="0CCE0D62"/>
    <w:rsid w:val="0D046532"/>
    <w:rsid w:val="0D2E1801"/>
    <w:rsid w:val="0D3B3F1D"/>
    <w:rsid w:val="0D55099D"/>
    <w:rsid w:val="0D6B4803"/>
    <w:rsid w:val="0D8C64D8"/>
    <w:rsid w:val="0DAE46EF"/>
    <w:rsid w:val="0DCF6BCA"/>
    <w:rsid w:val="0DD57ECE"/>
    <w:rsid w:val="0E567261"/>
    <w:rsid w:val="0E6760C6"/>
    <w:rsid w:val="0E7C47EE"/>
    <w:rsid w:val="0E927B6D"/>
    <w:rsid w:val="0E9F6A80"/>
    <w:rsid w:val="0EF425D6"/>
    <w:rsid w:val="0F6C4862"/>
    <w:rsid w:val="0F7B3D8D"/>
    <w:rsid w:val="0F8B118C"/>
    <w:rsid w:val="0FEB01B4"/>
    <w:rsid w:val="0FF705D0"/>
    <w:rsid w:val="10093E5F"/>
    <w:rsid w:val="1017657C"/>
    <w:rsid w:val="10207B26"/>
    <w:rsid w:val="104157C6"/>
    <w:rsid w:val="104430E9"/>
    <w:rsid w:val="10E50428"/>
    <w:rsid w:val="115D26B4"/>
    <w:rsid w:val="11CC3396"/>
    <w:rsid w:val="11F528ED"/>
    <w:rsid w:val="12064AFA"/>
    <w:rsid w:val="12152F8F"/>
    <w:rsid w:val="121A05A5"/>
    <w:rsid w:val="121F68E9"/>
    <w:rsid w:val="122136E2"/>
    <w:rsid w:val="123F7F23"/>
    <w:rsid w:val="12617F82"/>
    <w:rsid w:val="12BA4239"/>
    <w:rsid w:val="12E00606"/>
    <w:rsid w:val="12F47048"/>
    <w:rsid w:val="13477886"/>
    <w:rsid w:val="134C478E"/>
    <w:rsid w:val="135478C1"/>
    <w:rsid w:val="135D699C"/>
    <w:rsid w:val="14356ACB"/>
    <w:rsid w:val="146C0224"/>
    <w:rsid w:val="14997EA7"/>
    <w:rsid w:val="149C7998"/>
    <w:rsid w:val="14EA425F"/>
    <w:rsid w:val="153656F6"/>
    <w:rsid w:val="155D688F"/>
    <w:rsid w:val="157E70AA"/>
    <w:rsid w:val="15920236"/>
    <w:rsid w:val="15A72150"/>
    <w:rsid w:val="15A82FCC"/>
    <w:rsid w:val="15B66837"/>
    <w:rsid w:val="15C745A0"/>
    <w:rsid w:val="164B6F7F"/>
    <w:rsid w:val="167A7865"/>
    <w:rsid w:val="16B61728"/>
    <w:rsid w:val="16ED44DA"/>
    <w:rsid w:val="17654071"/>
    <w:rsid w:val="179A5630"/>
    <w:rsid w:val="17B40B54"/>
    <w:rsid w:val="185F31B6"/>
    <w:rsid w:val="186A5D6E"/>
    <w:rsid w:val="18950986"/>
    <w:rsid w:val="19257F5C"/>
    <w:rsid w:val="19342092"/>
    <w:rsid w:val="195E6FCA"/>
    <w:rsid w:val="19856C4C"/>
    <w:rsid w:val="198C1D89"/>
    <w:rsid w:val="19DF2751"/>
    <w:rsid w:val="1A40430B"/>
    <w:rsid w:val="1A450189"/>
    <w:rsid w:val="1A6745A4"/>
    <w:rsid w:val="1A724E6B"/>
    <w:rsid w:val="1A7A6085"/>
    <w:rsid w:val="1ADA2FC8"/>
    <w:rsid w:val="1B040045"/>
    <w:rsid w:val="1B102545"/>
    <w:rsid w:val="1B214753"/>
    <w:rsid w:val="1B486183"/>
    <w:rsid w:val="1B4B17D0"/>
    <w:rsid w:val="1B75684C"/>
    <w:rsid w:val="1B7E1BA5"/>
    <w:rsid w:val="1B966EEF"/>
    <w:rsid w:val="1BD417C5"/>
    <w:rsid w:val="1C250273"/>
    <w:rsid w:val="1C275D99"/>
    <w:rsid w:val="1C766D20"/>
    <w:rsid w:val="1C7A236C"/>
    <w:rsid w:val="1C7D6624"/>
    <w:rsid w:val="1D1C3424"/>
    <w:rsid w:val="1D28626C"/>
    <w:rsid w:val="1D790876"/>
    <w:rsid w:val="1DD7559C"/>
    <w:rsid w:val="1E430E84"/>
    <w:rsid w:val="1E870D71"/>
    <w:rsid w:val="1EA32E44"/>
    <w:rsid w:val="1EDD4E34"/>
    <w:rsid w:val="1EE74FBF"/>
    <w:rsid w:val="1F100D66"/>
    <w:rsid w:val="1F106FB8"/>
    <w:rsid w:val="1F130856"/>
    <w:rsid w:val="1F2E5690"/>
    <w:rsid w:val="1F6B0692"/>
    <w:rsid w:val="1F7312F5"/>
    <w:rsid w:val="1F796231"/>
    <w:rsid w:val="1FBFC090"/>
    <w:rsid w:val="1FD62287"/>
    <w:rsid w:val="1FFC578E"/>
    <w:rsid w:val="200C3C23"/>
    <w:rsid w:val="20144886"/>
    <w:rsid w:val="20315438"/>
    <w:rsid w:val="20427645"/>
    <w:rsid w:val="20896CE5"/>
    <w:rsid w:val="20D12777"/>
    <w:rsid w:val="218B0B78"/>
    <w:rsid w:val="221E379A"/>
    <w:rsid w:val="22356D36"/>
    <w:rsid w:val="223E5BEA"/>
    <w:rsid w:val="22407BB4"/>
    <w:rsid w:val="225E003A"/>
    <w:rsid w:val="22736352"/>
    <w:rsid w:val="240B5FA0"/>
    <w:rsid w:val="241F37F9"/>
    <w:rsid w:val="24431BDE"/>
    <w:rsid w:val="245A2A83"/>
    <w:rsid w:val="24A51F50"/>
    <w:rsid w:val="24B2466D"/>
    <w:rsid w:val="24B44889"/>
    <w:rsid w:val="256E67E6"/>
    <w:rsid w:val="257B2ABA"/>
    <w:rsid w:val="25985D35"/>
    <w:rsid w:val="25AC5561"/>
    <w:rsid w:val="25D7082F"/>
    <w:rsid w:val="25E76599"/>
    <w:rsid w:val="268362C1"/>
    <w:rsid w:val="26A5448A"/>
    <w:rsid w:val="26A85D28"/>
    <w:rsid w:val="26BE72FA"/>
    <w:rsid w:val="274A6DDF"/>
    <w:rsid w:val="275E4DA2"/>
    <w:rsid w:val="277420AE"/>
    <w:rsid w:val="277B51EB"/>
    <w:rsid w:val="27A61653"/>
    <w:rsid w:val="27A75FE0"/>
    <w:rsid w:val="27C22E19"/>
    <w:rsid w:val="27C92EAF"/>
    <w:rsid w:val="27F751B9"/>
    <w:rsid w:val="2852346A"/>
    <w:rsid w:val="288325A9"/>
    <w:rsid w:val="288E0F4E"/>
    <w:rsid w:val="28DA4193"/>
    <w:rsid w:val="28DE3FC9"/>
    <w:rsid w:val="293B2E83"/>
    <w:rsid w:val="298C1095"/>
    <w:rsid w:val="29A2195A"/>
    <w:rsid w:val="29F62912"/>
    <w:rsid w:val="2A1624D5"/>
    <w:rsid w:val="2A2102CB"/>
    <w:rsid w:val="2A643C7E"/>
    <w:rsid w:val="2A8B3997"/>
    <w:rsid w:val="2AA047FD"/>
    <w:rsid w:val="2AAB5DE7"/>
    <w:rsid w:val="2B6D3C50"/>
    <w:rsid w:val="2B7A5C3F"/>
    <w:rsid w:val="2BC76C50"/>
    <w:rsid w:val="2C7B06C4"/>
    <w:rsid w:val="2C9A4365"/>
    <w:rsid w:val="2C9C632F"/>
    <w:rsid w:val="2D443AA6"/>
    <w:rsid w:val="2D5704A8"/>
    <w:rsid w:val="2D5F793C"/>
    <w:rsid w:val="2D8868B3"/>
    <w:rsid w:val="2DFE0923"/>
    <w:rsid w:val="2E0221C2"/>
    <w:rsid w:val="2E8B0409"/>
    <w:rsid w:val="2EFC5727"/>
    <w:rsid w:val="2F0B32F8"/>
    <w:rsid w:val="2F1A178D"/>
    <w:rsid w:val="2F566C69"/>
    <w:rsid w:val="2F5E78CC"/>
    <w:rsid w:val="2F7215C9"/>
    <w:rsid w:val="2F967065"/>
    <w:rsid w:val="2F9D4288"/>
    <w:rsid w:val="300F20AC"/>
    <w:rsid w:val="30A9726C"/>
    <w:rsid w:val="30F5600E"/>
    <w:rsid w:val="30FC114A"/>
    <w:rsid w:val="31216E03"/>
    <w:rsid w:val="31336B36"/>
    <w:rsid w:val="31436D79"/>
    <w:rsid w:val="315F792B"/>
    <w:rsid w:val="31605B7D"/>
    <w:rsid w:val="316118F5"/>
    <w:rsid w:val="31687767"/>
    <w:rsid w:val="31741628"/>
    <w:rsid w:val="317515C7"/>
    <w:rsid w:val="319C60F2"/>
    <w:rsid w:val="321B7CF6"/>
    <w:rsid w:val="323E5792"/>
    <w:rsid w:val="324A4137"/>
    <w:rsid w:val="32AA4718"/>
    <w:rsid w:val="32BC3287"/>
    <w:rsid w:val="32CC7242"/>
    <w:rsid w:val="32E4633A"/>
    <w:rsid w:val="32F56799"/>
    <w:rsid w:val="332901F1"/>
    <w:rsid w:val="33386686"/>
    <w:rsid w:val="337D6CEB"/>
    <w:rsid w:val="33CF6FEA"/>
    <w:rsid w:val="33DC7C39"/>
    <w:rsid w:val="33ED121E"/>
    <w:rsid w:val="34401C96"/>
    <w:rsid w:val="346040E6"/>
    <w:rsid w:val="34676195"/>
    <w:rsid w:val="34C401D1"/>
    <w:rsid w:val="34CC79C8"/>
    <w:rsid w:val="34EC597A"/>
    <w:rsid w:val="34F0546A"/>
    <w:rsid w:val="35352E7D"/>
    <w:rsid w:val="35CB1A33"/>
    <w:rsid w:val="36486BE0"/>
    <w:rsid w:val="368220F2"/>
    <w:rsid w:val="36BD137C"/>
    <w:rsid w:val="36DD557A"/>
    <w:rsid w:val="36E572A1"/>
    <w:rsid w:val="37461371"/>
    <w:rsid w:val="375D2B5F"/>
    <w:rsid w:val="377A101B"/>
    <w:rsid w:val="37AD13F0"/>
    <w:rsid w:val="37BF1123"/>
    <w:rsid w:val="384050DC"/>
    <w:rsid w:val="38666929"/>
    <w:rsid w:val="386F48F8"/>
    <w:rsid w:val="389D1465"/>
    <w:rsid w:val="38F35529"/>
    <w:rsid w:val="38FB43DD"/>
    <w:rsid w:val="390908A8"/>
    <w:rsid w:val="39172B76"/>
    <w:rsid w:val="394A79D9"/>
    <w:rsid w:val="395064D7"/>
    <w:rsid w:val="396226AE"/>
    <w:rsid w:val="3986639D"/>
    <w:rsid w:val="3A3F02FA"/>
    <w:rsid w:val="3A443B62"/>
    <w:rsid w:val="3A791A5E"/>
    <w:rsid w:val="3A7C32FC"/>
    <w:rsid w:val="3AB94550"/>
    <w:rsid w:val="3AC3717D"/>
    <w:rsid w:val="3ADC03A5"/>
    <w:rsid w:val="3B0D21A6"/>
    <w:rsid w:val="3B5D7611"/>
    <w:rsid w:val="3B85355C"/>
    <w:rsid w:val="3BCE6DE3"/>
    <w:rsid w:val="3BE92C13"/>
    <w:rsid w:val="3C2459F9"/>
    <w:rsid w:val="3C28373B"/>
    <w:rsid w:val="3C2E6878"/>
    <w:rsid w:val="3C977F17"/>
    <w:rsid w:val="3CCD42E3"/>
    <w:rsid w:val="3CD236A7"/>
    <w:rsid w:val="3CED228F"/>
    <w:rsid w:val="3D7604D6"/>
    <w:rsid w:val="3D962926"/>
    <w:rsid w:val="3DB66B25"/>
    <w:rsid w:val="3DE51866"/>
    <w:rsid w:val="3E015FF2"/>
    <w:rsid w:val="3E587BDC"/>
    <w:rsid w:val="3E88226F"/>
    <w:rsid w:val="3EA64DEB"/>
    <w:rsid w:val="3EC84D62"/>
    <w:rsid w:val="3F0D6C18"/>
    <w:rsid w:val="3F6F00C6"/>
    <w:rsid w:val="3F9115F7"/>
    <w:rsid w:val="3FC060CE"/>
    <w:rsid w:val="401C5365"/>
    <w:rsid w:val="403D651D"/>
    <w:rsid w:val="406E7B8B"/>
    <w:rsid w:val="40B57568"/>
    <w:rsid w:val="40C21036"/>
    <w:rsid w:val="41354204"/>
    <w:rsid w:val="4168282C"/>
    <w:rsid w:val="41A25D3E"/>
    <w:rsid w:val="41C14084"/>
    <w:rsid w:val="41F463F5"/>
    <w:rsid w:val="42100EF9"/>
    <w:rsid w:val="421502BE"/>
    <w:rsid w:val="42246753"/>
    <w:rsid w:val="42293D69"/>
    <w:rsid w:val="42334BE8"/>
    <w:rsid w:val="42A17DA3"/>
    <w:rsid w:val="432B58BF"/>
    <w:rsid w:val="43640466"/>
    <w:rsid w:val="43A55671"/>
    <w:rsid w:val="43EF7531"/>
    <w:rsid w:val="44185E43"/>
    <w:rsid w:val="443C4B4A"/>
    <w:rsid w:val="44727C49"/>
    <w:rsid w:val="447339C1"/>
    <w:rsid w:val="449B0822"/>
    <w:rsid w:val="455548CD"/>
    <w:rsid w:val="45774DEB"/>
    <w:rsid w:val="458319E2"/>
    <w:rsid w:val="45D40490"/>
    <w:rsid w:val="45D64208"/>
    <w:rsid w:val="45DD3A82"/>
    <w:rsid w:val="45F823D0"/>
    <w:rsid w:val="45FFCAA2"/>
    <w:rsid w:val="46617B68"/>
    <w:rsid w:val="46761547"/>
    <w:rsid w:val="468C2B19"/>
    <w:rsid w:val="46DA7D28"/>
    <w:rsid w:val="46EE5C24"/>
    <w:rsid w:val="46FC47C1"/>
    <w:rsid w:val="471E7C15"/>
    <w:rsid w:val="47266AC9"/>
    <w:rsid w:val="47372A84"/>
    <w:rsid w:val="479223B1"/>
    <w:rsid w:val="47CF7161"/>
    <w:rsid w:val="47ED75E7"/>
    <w:rsid w:val="485B27A2"/>
    <w:rsid w:val="48B3438D"/>
    <w:rsid w:val="48E1539E"/>
    <w:rsid w:val="48E95A3B"/>
    <w:rsid w:val="490B41C9"/>
    <w:rsid w:val="49180694"/>
    <w:rsid w:val="49647D7D"/>
    <w:rsid w:val="49885819"/>
    <w:rsid w:val="49A5461D"/>
    <w:rsid w:val="49DF11B1"/>
    <w:rsid w:val="49ED38CE"/>
    <w:rsid w:val="4A4831FA"/>
    <w:rsid w:val="4A81672A"/>
    <w:rsid w:val="4AD66A58"/>
    <w:rsid w:val="4B1732F9"/>
    <w:rsid w:val="4B1A4B97"/>
    <w:rsid w:val="4B635CBF"/>
    <w:rsid w:val="4B7F735B"/>
    <w:rsid w:val="4B96C86D"/>
    <w:rsid w:val="4BB328F5"/>
    <w:rsid w:val="4BD25472"/>
    <w:rsid w:val="4C0F2222"/>
    <w:rsid w:val="4C107D48"/>
    <w:rsid w:val="4C15710C"/>
    <w:rsid w:val="4C6F2CC0"/>
    <w:rsid w:val="4C793B3F"/>
    <w:rsid w:val="4C934C01"/>
    <w:rsid w:val="4CA010CC"/>
    <w:rsid w:val="4CAB5216"/>
    <w:rsid w:val="4CAC7A71"/>
    <w:rsid w:val="4CC052CA"/>
    <w:rsid w:val="4CEF5BAF"/>
    <w:rsid w:val="4D0478AD"/>
    <w:rsid w:val="4D341814"/>
    <w:rsid w:val="4D355F0D"/>
    <w:rsid w:val="4D5153B3"/>
    <w:rsid w:val="4D697710"/>
    <w:rsid w:val="4D761E2D"/>
    <w:rsid w:val="4DA22C22"/>
    <w:rsid w:val="4DB0533F"/>
    <w:rsid w:val="4DB841F3"/>
    <w:rsid w:val="4DE374C2"/>
    <w:rsid w:val="4E0D453F"/>
    <w:rsid w:val="4ECD1F20"/>
    <w:rsid w:val="4EFF657E"/>
    <w:rsid w:val="4F075432"/>
    <w:rsid w:val="4F0B3174"/>
    <w:rsid w:val="4F334479"/>
    <w:rsid w:val="4F5A7C58"/>
    <w:rsid w:val="4F622668"/>
    <w:rsid w:val="4FFF246A"/>
    <w:rsid w:val="50285660"/>
    <w:rsid w:val="51142088"/>
    <w:rsid w:val="51532BB1"/>
    <w:rsid w:val="51A2659D"/>
    <w:rsid w:val="51D84E64"/>
    <w:rsid w:val="51E27A91"/>
    <w:rsid w:val="51EB4B97"/>
    <w:rsid w:val="520914C1"/>
    <w:rsid w:val="521C11F4"/>
    <w:rsid w:val="524B1ADA"/>
    <w:rsid w:val="529C40E3"/>
    <w:rsid w:val="52B75B6D"/>
    <w:rsid w:val="52CD6993"/>
    <w:rsid w:val="530A54F1"/>
    <w:rsid w:val="530F48B5"/>
    <w:rsid w:val="53426A39"/>
    <w:rsid w:val="536F7A4A"/>
    <w:rsid w:val="539B66BA"/>
    <w:rsid w:val="53E915AA"/>
    <w:rsid w:val="5415239F"/>
    <w:rsid w:val="541A79B6"/>
    <w:rsid w:val="54332825"/>
    <w:rsid w:val="5439712A"/>
    <w:rsid w:val="546D3F89"/>
    <w:rsid w:val="54C47921"/>
    <w:rsid w:val="54D51B2F"/>
    <w:rsid w:val="552A59D6"/>
    <w:rsid w:val="55484257"/>
    <w:rsid w:val="5560764A"/>
    <w:rsid w:val="556F3D31"/>
    <w:rsid w:val="55EB785C"/>
    <w:rsid w:val="55EF9B39"/>
    <w:rsid w:val="561D19DF"/>
    <w:rsid w:val="56352885"/>
    <w:rsid w:val="564C7BCE"/>
    <w:rsid w:val="56837A94"/>
    <w:rsid w:val="568B06F7"/>
    <w:rsid w:val="57473B42"/>
    <w:rsid w:val="57574A7D"/>
    <w:rsid w:val="576F626A"/>
    <w:rsid w:val="57A37CC2"/>
    <w:rsid w:val="57EE3633"/>
    <w:rsid w:val="57F347A6"/>
    <w:rsid w:val="584414A5"/>
    <w:rsid w:val="58550FBC"/>
    <w:rsid w:val="5889510A"/>
    <w:rsid w:val="5898534D"/>
    <w:rsid w:val="58BA1767"/>
    <w:rsid w:val="58EB7B73"/>
    <w:rsid w:val="58F20F01"/>
    <w:rsid w:val="5965074E"/>
    <w:rsid w:val="598A2EE8"/>
    <w:rsid w:val="5999137D"/>
    <w:rsid w:val="59A044B9"/>
    <w:rsid w:val="59AC6F21"/>
    <w:rsid w:val="59C83A10"/>
    <w:rsid w:val="59CC1752"/>
    <w:rsid w:val="59DC33C9"/>
    <w:rsid w:val="59FA62BF"/>
    <w:rsid w:val="5A342FA4"/>
    <w:rsid w:val="5A364E1D"/>
    <w:rsid w:val="5A382944"/>
    <w:rsid w:val="5A3D7F5A"/>
    <w:rsid w:val="5A7B6CD4"/>
    <w:rsid w:val="5A8042EB"/>
    <w:rsid w:val="5AA7343E"/>
    <w:rsid w:val="5B0B381E"/>
    <w:rsid w:val="5B280C0A"/>
    <w:rsid w:val="5B3550D5"/>
    <w:rsid w:val="5C225659"/>
    <w:rsid w:val="5C383367"/>
    <w:rsid w:val="5D443CF5"/>
    <w:rsid w:val="5D867E6A"/>
    <w:rsid w:val="5DC34C1A"/>
    <w:rsid w:val="5DE51034"/>
    <w:rsid w:val="5E1E4546"/>
    <w:rsid w:val="5E3873B6"/>
    <w:rsid w:val="5E7423B8"/>
    <w:rsid w:val="5EFD0600"/>
    <w:rsid w:val="5F16521D"/>
    <w:rsid w:val="5F296CFF"/>
    <w:rsid w:val="5F3062DF"/>
    <w:rsid w:val="5F8403D9"/>
    <w:rsid w:val="5F8E6BF5"/>
    <w:rsid w:val="5F979F47"/>
    <w:rsid w:val="5FA647F3"/>
    <w:rsid w:val="5FD44EBD"/>
    <w:rsid w:val="5FD90725"/>
    <w:rsid w:val="600D0408"/>
    <w:rsid w:val="60676818"/>
    <w:rsid w:val="60966616"/>
    <w:rsid w:val="60BA67A8"/>
    <w:rsid w:val="60CE7B5E"/>
    <w:rsid w:val="60DA0BF8"/>
    <w:rsid w:val="611C2FBF"/>
    <w:rsid w:val="61477910"/>
    <w:rsid w:val="61630BEE"/>
    <w:rsid w:val="618B05AE"/>
    <w:rsid w:val="619863BE"/>
    <w:rsid w:val="61DC274E"/>
    <w:rsid w:val="61F7685D"/>
    <w:rsid w:val="61F96E5C"/>
    <w:rsid w:val="627D221D"/>
    <w:rsid w:val="62A36DC8"/>
    <w:rsid w:val="62A80882"/>
    <w:rsid w:val="62DD22DA"/>
    <w:rsid w:val="62E25B42"/>
    <w:rsid w:val="630A5099"/>
    <w:rsid w:val="634C7460"/>
    <w:rsid w:val="63870498"/>
    <w:rsid w:val="639D7CBB"/>
    <w:rsid w:val="64964E36"/>
    <w:rsid w:val="64A82DBC"/>
    <w:rsid w:val="64B47494"/>
    <w:rsid w:val="64E669E0"/>
    <w:rsid w:val="651A2071"/>
    <w:rsid w:val="65801643"/>
    <w:rsid w:val="65D75707"/>
    <w:rsid w:val="65D8147F"/>
    <w:rsid w:val="665C3E5E"/>
    <w:rsid w:val="667D24EB"/>
    <w:rsid w:val="667E5B82"/>
    <w:rsid w:val="67017328"/>
    <w:rsid w:val="67184229"/>
    <w:rsid w:val="673B3A73"/>
    <w:rsid w:val="674566A0"/>
    <w:rsid w:val="679C6C08"/>
    <w:rsid w:val="67C25F42"/>
    <w:rsid w:val="67E73BFB"/>
    <w:rsid w:val="6837248C"/>
    <w:rsid w:val="6853303E"/>
    <w:rsid w:val="68C31F72"/>
    <w:rsid w:val="68DE51E8"/>
    <w:rsid w:val="68F101C1"/>
    <w:rsid w:val="692549DB"/>
    <w:rsid w:val="69256789"/>
    <w:rsid w:val="69992CD3"/>
    <w:rsid w:val="69CA7330"/>
    <w:rsid w:val="69D501AF"/>
    <w:rsid w:val="69E71C90"/>
    <w:rsid w:val="6A0246B4"/>
    <w:rsid w:val="6A682DD1"/>
    <w:rsid w:val="6A68509E"/>
    <w:rsid w:val="6A86594D"/>
    <w:rsid w:val="6B7D0AFE"/>
    <w:rsid w:val="6B813CCC"/>
    <w:rsid w:val="6B9E2823"/>
    <w:rsid w:val="6C494E84"/>
    <w:rsid w:val="6C627CF4"/>
    <w:rsid w:val="6C6D0B73"/>
    <w:rsid w:val="6CA95923"/>
    <w:rsid w:val="6CB95B66"/>
    <w:rsid w:val="6D082649"/>
    <w:rsid w:val="6D6B4986"/>
    <w:rsid w:val="6D6E2815"/>
    <w:rsid w:val="6D920165"/>
    <w:rsid w:val="6DC20A4A"/>
    <w:rsid w:val="6E146DCC"/>
    <w:rsid w:val="6E922B12"/>
    <w:rsid w:val="6EB02F99"/>
    <w:rsid w:val="6EBB0D8F"/>
    <w:rsid w:val="6EF20264"/>
    <w:rsid w:val="6F2F65B3"/>
    <w:rsid w:val="6F372E3A"/>
    <w:rsid w:val="6F3E040D"/>
    <w:rsid w:val="6FA7439C"/>
    <w:rsid w:val="6FCD36D6"/>
    <w:rsid w:val="701F61DC"/>
    <w:rsid w:val="70671D7D"/>
    <w:rsid w:val="709541F4"/>
    <w:rsid w:val="70A46B2D"/>
    <w:rsid w:val="70E4517B"/>
    <w:rsid w:val="710E3FA6"/>
    <w:rsid w:val="711315BD"/>
    <w:rsid w:val="71237A52"/>
    <w:rsid w:val="713954C7"/>
    <w:rsid w:val="713C6D66"/>
    <w:rsid w:val="71DF0665"/>
    <w:rsid w:val="721B2E1F"/>
    <w:rsid w:val="722E4900"/>
    <w:rsid w:val="72730565"/>
    <w:rsid w:val="7278201F"/>
    <w:rsid w:val="727D5888"/>
    <w:rsid w:val="728704B4"/>
    <w:rsid w:val="72D134DE"/>
    <w:rsid w:val="73093053"/>
    <w:rsid w:val="740D2C3B"/>
    <w:rsid w:val="74373814"/>
    <w:rsid w:val="744228E5"/>
    <w:rsid w:val="74566390"/>
    <w:rsid w:val="74B135C7"/>
    <w:rsid w:val="74BD1F6B"/>
    <w:rsid w:val="74D05EC0"/>
    <w:rsid w:val="74EF3FAF"/>
    <w:rsid w:val="7589009F"/>
    <w:rsid w:val="75DF5C8B"/>
    <w:rsid w:val="75FE676B"/>
    <w:rsid w:val="76500BBD"/>
    <w:rsid w:val="769907B6"/>
    <w:rsid w:val="76E25CB9"/>
    <w:rsid w:val="76F91C94"/>
    <w:rsid w:val="778765CA"/>
    <w:rsid w:val="77935205"/>
    <w:rsid w:val="77E37F3B"/>
    <w:rsid w:val="77FA5F49"/>
    <w:rsid w:val="77FF289B"/>
    <w:rsid w:val="78335C43"/>
    <w:rsid w:val="78D12489"/>
    <w:rsid w:val="78E0447A"/>
    <w:rsid w:val="7936053E"/>
    <w:rsid w:val="79C30024"/>
    <w:rsid w:val="7A0E5017"/>
    <w:rsid w:val="7A37456E"/>
    <w:rsid w:val="7A4B626B"/>
    <w:rsid w:val="7AB20098"/>
    <w:rsid w:val="7ACB4CB6"/>
    <w:rsid w:val="7AE77D42"/>
    <w:rsid w:val="7B116B6D"/>
    <w:rsid w:val="7B537186"/>
    <w:rsid w:val="7B705FF1"/>
    <w:rsid w:val="7BA43E85"/>
    <w:rsid w:val="7BE85FA0"/>
    <w:rsid w:val="7BF1556D"/>
    <w:rsid w:val="7BFA5853"/>
    <w:rsid w:val="7BFB3EC4"/>
    <w:rsid w:val="7BFF23BF"/>
    <w:rsid w:val="7C2B3C5E"/>
    <w:rsid w:val="7C3C5E6C"/>
    <w:rsid w:val="7C4D4D8E"/>
    <w:rsid w:val="7C831CEC"/>
    <w:rsid w:val="7CCA16C9"/>
    <w:rsid w:val="7CE00EED"/>
    <w:rsid w:val="7D1D5ACC"/>
    <w:rsid w:val="7D275B8C"/>
    <w:rsid w:val="7D3331B6"/>
    <w:rsid w:val="7D542DE0"/>
    <w:rsid w:val="7D6464F3"/>
    <w:rsid w:val="7DCB394B"/>
    <w:rsid w:val="7DEB5D9B"/>
    <w:rsid w:val="7DF84014"/>
    <w:rsid w:val="7E130E4E"/>
    <w:rsid w:val="7E5F5E41"/>
    <w:rsid w:val="7EAF0B77"/>
    <w:rsid w:val="7F1475F2"/>
    <w:rsid w:val="7F427C3D"/>
    <w:rsid w:val="7F6F5823"/>
    <w:rsid w:val="7F737DF6"/>
    <w:rsid w:val="7FA36202"/>
    <w:rsid w:val="7FAF29A5"/>
    <w:rsid w:val="7FBE1294"/>
    <w:rsid w:val="7FD10FC1"/>
    <w:rsid w:val="7FEA5BDF"/>
    <w:rsid w:val="87CEF0D4"/>
    <w:rsid w:val="BFBF9BA8"/>
    <w:rsid w:val="BFEF5A27"/>
    <w:rsid w:val="BFF66453"/>
    <w:rsid w:val="CD4FD7C0"/>
    <w:rsid w:val="D7AB24BE"/>
    <w:rsid w:val="DB7FB4C8"/>
    <w:rsid w:val="F1BF4B28"/>
    <w:rsid w:val="FCE132C0"/>
    <w:rsid w:val="FEFBFC0B"/>
    <w:rsid w:val="FFBB0250"/>
    <w:rsid w:val="FFBB1AFC"/>
    <w:rsid w:val="FFDF7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table of authorities"/>
    <w:basedOn w:val="1"/>
    <w:next w:val="1"/>
    <w:qFormat/>
    <w:uiPriority w:val="0"/>
    <w:pPr>
      <w:ind w:left="20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paragraph" w:customStyle="1" w:styleId="10">
    <w:name w:val="_Style 6"/>
    <w:basedOn w:val="1"/>
    <w:qFormat/>
    <w:uiPriority w:val="0"/>
    <w:rPr>
      <w:rFonts w:ascii="Times New Roman" w:hAnsi="Times New Roman" w:eastAsia="宋体" w:cs="Times New Roman"/>
      <w:szCs w:val="24"/>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4686</Words>
  <Characters>4738</Characters>
  <Lines>15</Lines>
  <Paragraphs>4</Paragraphs>
  <TotalTime>7</TotalTime>
  <ScaleCrop>false</ScaleCrop>
  <LinksUpToDate>false</LinksUpToDate>
  <CharactersWithSpaces>4740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2023-03-28T01:17:00Z</dcterms:created>
  <dc:creator>吴经杨</dc:creator>
  <cp:lastModifiedBy>你憋说话</cp:lastModifiedBy>
  <cp:lastPrinted>2024-06-17T07:29:00Z</cp:lastPrinted>
  <dcterms:modified xsi:type="dcterms:W3CDTF">2024-06-27T08:35:07Z</dcterms:modified>
  <dc:title>市人民政府办公厅关于印发《贵阳市巩固</dc:title>
  <cp:revision>939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BECEB4934FBD4EE7AACAE9DA037BA0B8_13</vt:lpwstr>
  </property>
  <property fmtid="{D5CDD505-2E9C-101B-9397-08002B2CF9AE}" pid="3" name="KSOProductBuildVer">
    <vt:lpwstr>2052-12.1.0.16929</vt:lpwstr>
  </property>
</Properties>
</file>