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CD5BC">
      <w:pPr>
        <w:spacing w:line="700" w:lineRule="exact"/>
        <w:jc w:val="center"/>
        <w:rPr>
          <w:rFonts w:hint="eastAsia" w:ascii="方正小标宋简体" w:hAnsi="方正小标宋简体" w:eastAsia="方正小标宋简体" w:cs="方正小标宋简体"/>
          <w:bCs/>
          <w:sz w:val="68"/>
          <w:szCs w:val="68"/>
        </w:rPr>
      </w:pPr>
      <w:r>
        <w:rPr>
          <w:rFonts w:hint="eastAsia" w:ascii="方正小标宋简体" w:hAnsi="方正小标宋简体" w:eastAsia="方正小标宋简体" w:cs="方正小标宋简体"/>
          <w:bCs/>
          <w:sz w:val="68"/>
          <w:szCs w:val="68"/>
        </w:rPr>
        <w:t>征 收 土 地 预 公 告</w:t>
      </w:r>
    </w:p>
    <w:p w14:paraId="3E74DBD0">
      <w:pPr>
        <w:spacing w:line="380" w:lineRule="exact"/>
        <w:ind w:firstLine="600" w:firstLineChars="200"/>
        <w:rPr>
          <w:rFonts w:hint="eastAsia" w:ascii="仿宋_GB2312" w:hAnsi="宋体" w:eastAsia="仿宋_GB2312"/>
          <w:sz w:val="30"/>
          <w:szCs w:val="32"/>
        </w:rPr>
      </w:pPr>
    </w:p>
    <w:p w14:paraId="3D94C5D2">
      <w:pPr>
        <w:spacing w:line="249" w:lineRule="auto"/>
        <w:rPr>
          <w:rFonts w:ascii="Arial"/>
          <w:sz w:val="21"/>
        </w:rPr>
      </w:pPr>
    </w:p>
    <w:p w14:paraId="46F88CFB">
      <w:pPr>
        <w:spacing w:line="380" w:lineRule="exact"/>
        <w:ind w:firstLine="600" w:firstLineChars="200"/>
        <w:rPr>
          <w:rFonts w:hint="eastAsia" w:ascii="仿宋_GB2312" w:hAnsi="宋体" w:eastAsia="仿宋_GB2312"/>
          <w:sz w:val="30"/>
          <w:szCs w:val="32"/>
        </w:rPr>
      </w:pPr>
      <w:r>
        <w:rPr>
          <w:rFonts w:hint="eastAsia" w:ascii="仿宋_GB2312" w:hAnsi="宋体" w:eastAsia="仿宋_GB2312"/>
          <w:sz w:val="30"/>
          <w:szCs w:val="32"/>
        </w:rPr>
        <w:t>依照《中华人民共和国土地管理法》第二条、第四十七条的规定，为实施土地利用总体规划和城镇总体规划，维护被征地农户的知情权，根据《国务院关于深化改革严格土地管理的决定》(国发〔2004〕28号)、国土资源部《关于印发&lt;关于完善征地补偿安置制度的指导意见&gt;的通知》(国土资发〔2004〕238号)有关规定，现将拟征收土地情况预公告如下:</w:t>
      </w:r>
    </w:p>
    <w:p w14:paraId="0CF25E9D">
      <w:pPr>
        <w:pStyle w:val="2"/>
        <w:spacing w:before="76" w:line="225" w:lineRule="auto"/>
        <w:ind w:firstLine="640"/>
        <w:rPr>
          <w:rFonts w:hint="eastAsia" w:ascii="仿宋_GB2312" w:hAnsi="宋体" w:eastAsia="仿宋_GB2312" w:cs="Arial"/>
          <w:snapToGrid w:val="0"/>
          <w:color w:val="000000"/>
          <w:kern w:val="0"/>
          <w:sz w:val="30"/>
          <w:szCs w:val="32"/>
          <w:lang w:val="en-US" w:eastAsia="en-US" w:bidi="ar-SA"/>
        </w:rPr>
      </w:pPr>
      <w:r>
        <w:rPr>
          <w:rFonts w:hint="eastAsia" w:ascii="仿宋_GB2312" w:hAnsi="宋体" w:eastAsia="仿宋_GB2312" w:cs="Arial"/>
          <w:snapToGrid w:val="0"/>
          <w:color w:val="000000"/>
          <w:kern w:val="0"/>
          <w:sz w:val="30"/>
          <w:szCs w:val="32"/>
          <w:lang w:val="en-US" w:eastAsia="en-US" w:bidi="ar-SA"/>
        </w:rPr>
        <w:t>一 、拟征收土地的位置和范围：城关镇城西村、南中村、东山村、顶方村，龙岗镇大水塘村、龙岗一村(具体位置和范围详见现场公告附图)。</w:t>
      </w:r>
    </w:p>
    <w:p w14:paraId="1B76BC19">
      <w:pPr>
        <w:pStyle w:val="2"/>
        <w:spacing w:before="13" w:line="228" w:lineRule="auto"/>
        <w:ind w:right="149" w:firstLine="640"/>
        <w:rPr>
          <w:rFonts w:hint="eastAsia" w:ascii="仿宋_GB2312" w:hAnsi="宋体" w:eastAsia="仿宋_GB2312" w:cs="Arial"/>
          <w:snapToGrid w:val="0"/>
          <w:color w:val="000000"/>
          <w:kern w:val="0"/>
          <w:sz w:val="30"/>
          <w:szCs w:val="32"/>
          <w:lang w:val="en-US" w:eastAsia="en-US" w:bidi="ar-SA"/>
        </w:rPr>
      </w:pPr>
      <w:r>
        <w:rPr>
          <w:rFonts w:hint="eastAsia" w:ascii="仿宋_GB2312" w:hAnsi="宋体" w:eastAsia="仿宋_GB2312" w:cs="Arial"/>
          <w:snapToGrid w:val="0"/>
          <w:color w:val="000000"/>
          <w:kern w:val="0"/>
          <w:sz w:val="30"/>
          <w:szCs w:val="32"/>
          <w:lang w:val="en-US" w:eastAsia="en-US" w:bidi="ar-SA"/>
        </w:rPr>
        <w:t>二、拟征收土地的规划用途：商住用地、水利设施用地、公共设施用地、教育科研用地(具体地块用途详见规划图)。</w:t>
      </w:r>
    </w:p>
    <w:p w14:paraId="7E565B76">
      <w:pPr>
        <w:pStyle w:val="2"/>
        <w:spacing w:before="46" w:line="223" w:lineRule="auto"/>
        <w:ind w:left="640"/>
        <w:rPr>
          <w:rFonts w:hint="eastAsia" w:ascii="仿宋_GB2312" w:hAnsi="宋体" w:eastAsia="仿宋_GB2312" w:cs="Arial"/>
          <w:snapToGrid w:val="0"/>
          <w:color w:val="000000"/>
          <w:kern w:val="0"/>
          <w:sz w:val="30"/>
          <w:szCs w:val="32"/>
          <w:lang w:val="en-US" w:eastAsia="en-US" w:bidi="ar-SA"/>
        </w:rPr>
      </w:pPr>
      <w:r>
        <w:rPr>
          <w:rFonts w:hint="eastAsia" w:ascii="仿宋_GB2312" w:hAnsi="宋体" w:eastAsia="仿宋_GB2312" w:cs="Arial"/>
          <w:snapToGrid w:val="0"/>
          <w:color w:val="000000"/>
          <w:kern w:val="0"/>
          <w:sz w:val="30"/>
          <w:szCs w:val="32"/>
          <w:lang w:val="en-US" w:eastAsia="en-US" w:bidi="ar-SA"/>
        </w:rPr>
        <w:t>三、拟征收土地面积：6.8620公顷。</w:t>
      </w:r>
    </w:p>
    <w:p w14:paraId="30435A28">
      <w:pPr>
        <w:spacing w:line="380" w:lineRule="exact"/>
        <w:ind w:firstLine="588" w:firstLineChars="196"/>
        <w:rPr>
          <w:rFonts w:hint="eastAsia" w:ascii="仿宋_GB2312" w:hAnsi="宋体" w:eastAsia="仿宋_GB2312"/>
          <w:sz w:val="30"/>
          <w:szCs w:val="32"/>
        </w:rPr>
      </w:pPr>
      <w:r>
        <w:rPr>
          <w:rFonts w:hint="eastAsia" w:ascii="仿宋_GB2312" w:hAnsi="宋体" w:eastAsia="仿宋_GB2312"/>
          <w:sz w:val="30"/>
          <w:szCs w:val="32"/>
        </w:rPr>
        <w:t>四、自本公告发布之日起，县政府有关部门将组织有关征地机构和测量单位进入拟征地现场，对土地的权属、地类、面积以及地上附着物(含房屋)的权属、种类、数量、结构等现状进行调查，请涉及的单位和个人相互转告，并予以配合。调查结果将与被征地农村集体经济组织、农户和地上附着物产权人共同确认。</w:t>
      </w:r>
    </w:p>
    <w:p w14:paraId="7F5815B5">
      <w:pPr>
        <w:spacing w:line="380" w:lineRule="exact"/>
        <w:ind w:firstLine="588" w:firstLineChars="196"/>
        <w:rPr>
          <w:rFonts w:hint="eastAsia" w:ascii="仿宋_GB2312" w:hAnsi="宋体" w:eastAsia="仿宋_GB2312"/>
          <w:sz w:val="30"/>
          <w:szCs w:val="32"/>
        </w:rPr>
      </w:pPr>
      <w:r>
        <w:rPr>
          <w:rFonts w:hint="eastAsia" w:ascii="仿宋_GB2312" w:hAnsi="宋体" w:eastAsia="仿宋_GB2312"/>
          <w:sz w:val="30"/>
          <w:szCs w:val="32"/>
        </w:rPr>
        <w:t>五、征收土地的补偿标准和安置途径</w:t>
      </w:r>
    </w:p>
    <w:p w14:paraId="5A9F7341">
      <w:pPr>
        <w:spacing w:line="380" w:lineRule="exact"/>
        <w:ind w:firstLine="588" w:firstLineChars="196"/>
        <w:rPr>
          <w:rFonts w:hint="eastAsia" w:ascii="仿宋_GB2312" w:hAnsi="宋体" w:eastAsia="仿宋_GB2312"/>
          <w:sz w:val="30"/>
          <w:szCs w:val="32"/>
        </w:rPr>
      </w:pPr>
      <w:r>
        <w:rPr>
          <w:rFonts w:hint="eastAsia" w:ascii="仿宋_GB2312" w:hAnsi="宋体" w:eastAsia="仿宋_GB2312"/>
          <w:sz w:val="30"/>
          <w:szCs w:val="32"/>
        </w:rPr>
        <w:t>(一)补偿标准：依照《中华人民共和国土地管理法》第四十七条、《贵州省土地管理条例》第二十条、国土资源部《关于印发&lt;关于完善征地补偿安置制度的指导意见&gt;的通知》(国土资发〔2004〕238号) 和《贵阳市人民政府关于公布实施贵阳市征地统一年产值和征地区片综合地价补偿更新标准的通知》（筑府发〔2016〕28号文件）有关规定执行。其中，地上附着物(含房屋)和青苗等的补偿，将根据调查确认的实际情况制定具体的补偿标准。</w:t>
      </w:r>
    </w:p>
    <w:p w14:paraId="6FA8A4BD">
      <w:pPr>
        <w:spacing w:line="380" w:lineRule="exact"/>
        <w:ind w:firstLine="588" w:firstLineChars="196"/>
        <w:rPr>
          <w:rFonts w:hint="eastAsia" w:ascii="仿宋_GB2312" w:hAnsi="宋体" w:eastAsia="仿宋_GB2312"/>
          <w:sz w:val="30"/>
          <w:szCs w:val="32"/>
        </w:rPr>
      </w:pPr>
      <w:r>
        <w:rPr>
          <w:rFonts w:hint="eastAsia" w:ascii="仿宋_GB2312" w:hAnsi="宋体" w:eastAsia="仿宋_GB2312"/>
          <w:sz w:val="30"/>
          <w:szCs w:val="32"/>
        </w:rPr>
        <w:t>(二)安置途径：货币安置和社会保障安置。</w:t>
      </w:r>
    </w:p>
    <w:p w14:paraId="5BA6E3B1">
      <w:pPr>
        <w:spacing w:line="380" w:lineRule="exact"/>
        <w:ind w:firstLine="300" w:firstLineChars="100"/>
        <w:rPr>
          <w:rFonts w:hint="eastAsia" w:ascii="仿宋_GB2312" w:hAnsi="宋体" w:eastAsia="仿宋_GB2312"/>
          <w:sz w:val="30"/>
          <w:szCs w:val="32"/>
        </w:rPr>
      </w:pPr>
      <w:r>
        <w:rPr>
          <w:rFonts w:hint="eastAsia" w:ascii="仿宋_GB2312" w:hAnsi="宋体" w:eastAsia="仿宋_GB2312"/>
          <w:sz w:val="30"/>
          <w:szCs w:val="32"/>
        </w:rPr>
        <w:t xml:space="preserve">  (三)县国土资源局根据实际测量、现状调查和确认结果拟定具体的征地补偿安置方案后，将在依法报批前另行告知被征地农民集体经济组织和农户，充分听取意见。被征地农民集体经济组织和农户对拟征收土地的具体补偿标准、安置途径有申请听证的权利。</w:t>
      </w:r>
    </w:p>
    <w:p w14:paraId="3D2F7B0C">
      <w:pPr>
        <w:spacing w:line="380" w:lineRule="exact"/>
        <w:ind w:firstLine="588" w:firstLineChars="196"/>
        <w:rPr>
          <w:rFonts w:hint="eastAsia" w:ascii="仿宋_GB2312" w:hAnsi="宋体" w:eastAsia="仿宋_GB2312"/>
          <w:sz w:val="30"/>
          <w:szCs w:val="32"/>
        </w:rPr>
      </w:pPr>
      <w:r>
        <w:rPr>
          <w:rFonts w:hint="eastAsia" w:ascii="仿宋_GB2312" w:hAnsi="宋体" w:eastAsia="仿宋_GB2312"/>
          <w:sz w:val="30"/>
          <w:szCs w:val="32"/>
        </w:rPr>
        <w:t>六、自本预公告发布之日起，除正常农业生产外，被征地农村集体经济组织和农户在拟征土地上抢栽、抢种、抢建的青苗和地上附着物，征地时一律不予补偿。</w:t>
      </w:r>
    </w:p>
    <w:p w14:paraId="488BA0B4">
      <w:pPr>
        <w:spacing w:line="380" w:lineRule="exact"/>
        <w:ind w:firstLine="588" w:firstLineChars="196"/>
        <w:rPr>
          <w:rFonts w:hint="eastAsia" w:ascii="仿宋_GB2312" w:hAnsi="宋体" w:eastAsia="仿宋_GB2312"/>
          <w:sz w:val="30"/>
          <w:szCs w:val="32"/>
        </w:rPr>
      </w:pPr>
      <w:r>
        <w:rPr>
          <w:rFonts w:hint="eastAsia" w:ascii="仿宋_GB2312" w:hAnsi="宋体" w:eastAsia="仿宋_GB2312"/>
          <w:sz w:val="30"/>
          <w:szCs w:val="32"/>
        </w:rPr>
        <w:t>特此公告。</w:t>
      </w:r>
    </w:p>
    <w:p w14:paraId="11F64A8A">
      <w:pPr>
        <w:pStyle w:val="2"/>
        <w:spacing w:before="76" w:line="225" w:lineRule="auto"/>
        <w:ind w:firstLine="640"/>
        <w:jc w:val="right"/>
        <w:rPr>
          <w:rFonts w:hint="eastAsia" w:ascii="仿宋_GB2312" w:hAnsi="宋体" w:eastAsia="仿宋_GB2312" w:cs="Arial"/>
          <w:snapToGrid w:val="0"/>
          <w:color w:val="000000"/>
          <w:kern w:val="0"/>
          <w:sz w:val="30"/>
          <w:szCs w:val="32"/>
          <w:lang w:val="en-US" w:eastAsia="en-US" w:bidi="ar-SA"/>
        </w:rPr>
      </w:pPr>
    </w:p>
    <w:p w14:paraId="1BCF38F6">
      <w:pPr>
        <w:pStyle w:val="2"/>
        <w:spacing w:before="76" w:line="225" w:lineRule="auto"/>
        <w:ind w:firstLine="640"/>
        <w:jc w:val="center"/>
        <w:rPr>
          <w:rFonts w:hint="eastAsia" w:ascii="仿宋_GB2312" w:hAnsi="宋体" w:eastAsia="仿宋_GB2312" w:cs="Arial"/>
          <w:snapToGrid w:val="0"/>
          <w:color w:val="000000"/>
          <w:kern w:val="0"/>
          <w:sz w:val="30"/>
          <w:szCs w:val="32"/>
          <w:lang w:val="en-US" w:eastAsia="en-US" w:bidi="ar-SA"/>
        </w:rPr>
      </w:pPr>
      <w:r>
        <w:rPr>
          <w:rFonts w:hint="eastAsia" w:ascii="仿宋_GB2312" w:hAnsi="宋体" w:eastAsia="仿宋_GB2312" w:cs="Arial"/>
          <w:snapToGrid w:val="0"/>
          <w:color w:val="000000"/>
          <w:kern w:val="0"/>
          <w:sz w:val="30"/>
          <w:szCs w:val="32"/>
          <w:lang w:val="en-US" w:eastAsia="zh-CN" w:bidi="ar-SA"/>
        </w:rPr>
        <w:t xml:space="preserve">                     </w:t>
      </w:r>
      <w:bookmarkStart w:id="0" w:name="_GoBack"/>
      <w:bookmarkEnd w:id="0"/>
      <w:r>
        <w:rPr>
          <w:rFonts w:hint="eastAsia" w:ascii="仿宋_GB2312" w:hAnsi="宋体" w:eastAsia="仿宋_GB2312" w:cs="Arial"/>
          <w:snapToGrid w:val="0"/>
          <w:color w:val="000000"/>
          <w:kern w:val="0"/>
          <w:sz w:val="30"/>
          <w:szCs w:val="32"/>
          <w:lang w:val="en-US" w:eastAsia="zh-CN" w:bidi="ar-SA"/>
        </w:rPr>
        <w:t xml:space="preserve"> </w:t>
      </w:r>
      <w:r>
        <w:rPr>
          <w:rFonts w:hint="eastAsia" w:ascii="仿宋_GB2312" w:hAnsi="宋体" w:eastAsia="仿宋_GB2312" w:cs="Arial"/>
          <w:snapToGrid w:val="0"/>
          <w:color w:val="000000"/>
          <w:kern w:val="0"/>
          <w:sz w:val="30"/>
          <w:szCs w:val="32"/>
          <w:lang w:val="en-US" w:eastAsia="en-US" w:bidi="ar-SA"/>
        </w:rPr>
        <w:t>开阳县人民政府</w:t>
      </w:r>
    </w:p>
    <w:p w14:paraId="6718F028">
      <w:pPr>
        <w:pStyle w:val="2"/>
        <w:spacing w:before="76" w:line="225" w:lineRule="auto"/>
        <w:ind w:firstLine="640"/>
        <w:jc w:val="center"/>
        <w:rPr>
          <w:rFonts w:hint="eastAsia" w:ascii="仿宋_GB2312" w:hAnsi="宋体" w:eastAsia="仿宋_GB2312" w:cs="Arial"/>
          <w:snapToGrid w:val="0"/>
          <w:color w:val="000000"/>
          <w:kern w:val="0"/>
          <w:sz w:val="30"/>
          <w:szCs w:val="32"/>
          <w:lang w:val="en-US" w:eastAsia="en-US" w:bidi="ar-SA"/>
        </w:rPr>
      </w:pPr>
      <w:r>
        <w:rPr>
          <w:rFonts w:hint="eastAsia" w:ascii="仿宋_GB2312" w:hAnsi="宋体" w:eastAsia="仿宋_GB2312" w:cs="Arial"/>
          <w:snapToGrid w:val="0"/>
          <w:color w:val="000000"/>
          <w:kern w:val="0"/>
          <w:sz w:val="30"/>
          <w:szCs w:val="32"/>
          <w:lang w:val="en-US" w:eastAsia="zh-CN" w:bidi="ar-SA"/>
        </w:rPr>
        <w:t xml:space="preserve">                      </w:t>
      </w:r>
      <w:r>
        <w:rPr>
          <w:rFonts w:hint="eastAsia" w:ascii="仿宋_GB2312" w:hAnsi="宋体" w:eastAsia="仿宋_GB2312" w:cs="Arial"/>
          <w:snapToGrid w:val="0"/>
          <w:color w:val="000000"/>
          <w:kern w:val="0"/>
          <w:sz w:val="30"/>
          <w:szCs w:val="32"/>
          <w:lang w:val="en-US" w:eastAsia="en-US" w:bidi="ar-SA"/>
        </w:rPr>
        <w:t>2018年5月24日</w:t>
      </w:r>
    </w:p>
    <w:sectPr>
      <w:pgSz w:w="12240" w:h="16840"/>
      <w:pgMar w:top="1171" w:right="1265" w:bottom="0" w:left="6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F5731B4"/>
    <w:rsid w:val="69EC1B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9"/>
      <w:szCs w:val="2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865</Words>
  <Characters>892</Characters>
  <TotalTime>0</TotalTime>
  <ScaleCrop>false</ScaleCrop>
  <LinksUpToDate>false</LinksUpToDate>
  <CharactersWithSpaces>920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2025-05-26T11:49:00Z</dcterms:created>
  <dc:creator>user</dc:creator>
  <cp:lastModifiedBy>txh</cp:lastModifiedBy>
  <dcterms:modified xsi:type="dcterms:W3CDTF">2025-05-26T06:10:40Z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2025-05-26T11:49:38Z</vt:filetime>
  </property>
  <property fmtid="{D5CDD505-2E9C-101B-9397-08002B2CF9AE}" pid="4" name="UsrData">
    <vt:lpwstr>6833e4cf58c848001f5f3afawl</vt:lpwstr>
  </property>
  <property fmtid="{D5CDD505-2E9C-101B-9397-08002B2CF9AE}" pid="5" name="KSOTemplateDocerSaveRecord">
    <vt:lpwstr>eyJoZGlkIjoiODkyMTFkM2YzOGJjNmMxMDJhYThmN2JiYTM0ZmY0ZjYiLCJ1c2VySWQiOiIzMzIzOTY1MzYifQ==</vt:lpwstr>
  </property>
  <property fmtid="{D5CDD505-2E9C-101B-9397-08002B2CF9AE}" pid="6" name="KSOProductBuildVer">
    <vt:lpwstr>2052-12.1.0.20784</vt:lpwstr>
  </property>
  <property fmtid="{D5CDD505-2E9C-101B-9397-08002B2CF9AE}" pid="7" name="ICV">
    <vt:lpwstr>77FBC45D05FA4F099FA92F57D2C7AF70_12</vt:lpwstr>
  </property>
</Properties>
</file>