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atLeast"/>
        <w:jc w:val="both"/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pStyle w:val="9"/>
        <w:spacing w:line="560" w:lineRule="atLeas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贵州省新型冠状病毒核酸检测收费标准</w:t>
      </w:r>
    </w:p>
    <w:bookmarkEnd w:id="0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45"/>
        <w:gridCol w:w="3315"/>
        <w:gridCol w:w="1054"/>
        <w:gridCol w:w="955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编码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项目内涵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除外内容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计价单位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最高</w:t>
            </w:r>
          </w:p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b/>
                <w:bCs/>
                <w:sz w:val="28"/>
              </w:rPr>
            </w:pPr>
            <w:r>
              <w:rPr>
                <w:rFonts w:hint="eastAsia" w:ascii="仿宋_GB2312" w:hAnsi="方正仿宋_GBK" w:eastAsia="仿宋_GB2312" w:cs="黑体"/>
                <w:b/>
                <w:bCs/>
                <w:sz w:val="28"/>
                <w:szCs w:val="28"/>
              </w:rPr>
              <w:t>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  <w:r>
              <w:rPr>
                <w:rFonts w:hint="eastAsia" w:ascii="仿宋_GB2312" w:hAnsi="方正仿宋_GBK" w:eastAsia="仿宋_GB2312" w:cs="仿宋_GB2312"/>
                <w:color w:val="000000"/>
                <w:sz w:val="28"/>
                <w:szCs w:val="28"/>
              </w:rPr>
              <w:t>250403087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  <w:r>
              <w:rPr>
                <w:rFonts w:hint="eastAsia" w:ascii="仿宋_GB2312" w:hAnsi="方正仿宋_GBK" w:eastAsia="仿宋_GB2312" w:cs="仿宋_GB2312"/>
                <w:color w:val="000000"/>
                <w:sz w:val="28"/>
                <w:szCs w:val="28"/>
              </w:rPr>
              <w:t>新型冠状病毒核酸检测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  <w:r>
              <w:rPr>
                <w:rFonts w:hint="eastAsia" w:ascii="仿宋_GB2312" w:hAnsi="方正仿宋_GBK" w:eastAsia="仿宋_GB2312" w:cs="仿宋_GB2312"/>
                <w:sz w:val="28"/>
                <w:szCs w:val="28"/>
              </w:rPr>
              <w:t>样本类型：各种标本。样本采集、签收、处理（据标本类型不同进行相应的前处理），提取模板RNA,与标准品、阴阳性对照及质控品同时进行荧光扩增，进行定量分析，判断并审核结果，录入实验室信息系统或人工登记，发送报告；按规定处理废弃物；接受临床咨询。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  <w:r>
              <w:rPr>
                <w:rFonts w:hint="eastAsia" w:ascii="仿宋_GB2312" w:hAnsi="方正仿宋_GBK" w:eastAsia="仿宋_GB2312" w:cs="仿宋_GB2312"/>
                <w:sz w:val="28"/>
                <w:szCs w:val="28"/>
              </w:rPr>
              <w:t>核酸检测试剂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  <w:r>
              <w:rPr>
                <w:rFonts w:hint="eastAsia" w:ascii="仿宋_GB2312" w:hAnsi="方正仿宋_GBK" w:eastAsia="仿宋_GB2312" w:cs="仿宋_GB2312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</w:p>
          <w:p>
            <w:pPr>
              <w:spacing w:line="480" w:lineRule="atLeast"/>
              <w:jc w:val="center"/>
              <w:rPr>
                <w:rFonts w:hint="eastAsia" w:ascii="仿宋_GB2312" w:hAnsi="方正仿宋_GBK" w:eastAsia="仿宋_GB2312"/>
                <w:sz w:val="28"/>
              </w:rPr>
            </w:pPr>
            <w:r>
              <w:rPr>
                <w:rFonts w:hint="eastAsia" w:ascii="仿宋_GB2312" w:hAnsi="方正仿宋_GBK" w:eastAsia="仿宋_GB2312" w:cs="仿宋_GB2312"/>
                <w:color w:val="000000"/>
                <w:sz w:val="28"/>
                <w:szCs w:val="28"/>
              </w:rPr>
              <w:t>50</w:t>
            </w:r>
          </w:p>
        </w:tc>
      </w:tr>
    </w:tbl>
    <w:p>
      <w:pPr>
        <w:rPr>
          <w:rFonts w:hint="eastAsia" w:ascii="仿宋" w:hAnsi="仿宋" w:eastAsia="仿宋"/>
          <w:sz w:val="32"/>
        </w:rPr>
      </w:pPr>
    </w:p>
    <w:p>
      <w:pPr>
        <w:spacing w:line="520" w:lineRule="exact"/>
        <w:ind w:left="15" w:leftChars="7" w:right="739" w:rightChars="352" w:firstLine="6720" w:firstLineChars="2400"/>
        <w:rPr>
          <w:rFonts w:hint="eastAsia" w:ascii="仿宋_GB2312" w:hAnsi="仿宋_GB2312" w:eastAsia="仿宋_GB2312"/>
          <w:sz w:val="28"/>
          <w:szCs w:val="30"/>
        </w:rPr>
      </w:pPr>
    </w:p>
    <w:p>
      <w:pPr>
        <w:spacing w:line="520" w:lineRule="exact"/>
        <w:ind w:left="1063" w:hanging="1062" w:hangingChars="506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默认段落字体 Para Char"/>
    <w:basedOn w:val="1"/>
    <w:next w:val="1"/>
    <w:link w:val="5"/>
    <w:uiPriority w:val="0"/>
    <w:pPr>
      <w:spacing w:line="360" w:lineRule="auto"/>
      <w:ind w:firstLine="200" w:firstLineChars="200"/>
    </w:pPr>
  </w:style>
  <w:style w:type="character" w:styleId="7">
    <w:name w:val="page number"/>
    <w:basedOn w:val="5"/>
    <w:uiPriority w:val="0"/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9">
    <w:name w:val="No Spacing"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2021-01-27T03:55:26Z</dcterms:created>
  <dc:creator>lenovo</dc:creator>
  <cp:lastModifiedBy>娃娃鱼</cp:lastModifiedBy>
  <dcterms:modified xsi:type="dcterms:W3CDTF">2021-01-27T03:55:51Z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