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bidi w:val="0"/>
        <w:adjustRightInd/>
        <w:snapToGrid w:val="0"/>
        <w:spacing w:line="560" w:lineRule="exact"/>
        <w:ind w:left="1325" w:leftChars="0" w:hanging="1325" w:hangingChars="300"/>
        <w:jc w:val="center"/>
        <w:rPr>
          <w:rFonts w:hint="eastAsia" w:ascii="宋体" w:hAnsi="宋体" w:eastAsia="宋体" w:cs="宋体"/>
          <w:b/>
          <w:color w:val="auto"/>
          <w:sz w:val="44"/>
          <w:szCs w:val="44"/>
          <w:lang w:val="en-US" w:eastAsia="zh-CN"/>
        </w:rPr>
      </w:pPr>
      <w:r>
        <w:rPr>
          <w:rFonts w:hint="eastAsia" w:ascii="宋体" w:hAnsi="宋体" w:eastAsia="宋体" w:cs="宋体"/>
          <w:b/>
          <w:color w:val="auto"/>
          <w:sz w:val="44"/>
          <w:szCs w:val="44"/>
          <w:lang w:val="en-US" w:eastAsia="zh-CN"/>
        </w:rPr>
        <w:t>开阳县商务和投资促进局2022年</w:t>
      </w:r>
    </w:p>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Theme="majorEastAsia" w:hAnsiTheme="majorEastAsia" w:eastAsiaTheme="majorEastAsia" w:cstheme="majorEastAsia"/>
          <w:b/>
          <w:bCs/>
          <w:sz w:val="44"/>
          <w:szCs w:val="44"/>
        </w:rPr>
      </w:pPr>
      <w:r>
        <w:rPr>
          <w:rFonts w:hint="eastAsia" w:ascii="宋体" w:hAnsi="宋体" w:eastAsia="宋体" w:cs="宋体"/>
          <w:b/>
          <w:color w:val="auto"/>
          <w:sz w:val="44"/>
          <w:szCs w:val="44"/>
          <w:lang w:val="en-US" w:eastAsia="zh-CN"/>
        </w:rPr>
        <w:t>项目</w:t>
      </w:r>
      <w:r>
        <w:rPr>
          <w:rFonts w:hint="eastAsia" w:ascii="宋体" w:hAnsi="宋体" w:eastAsia="宋体" w:cs="宋体"/>
          <w:b/>
          <w:color w:val="auto"/>
          <w:sz w:val="44"/>
          <w:szCs w:val="44"/>
          <w:lang w:val="en-US"/>
        </w:rPr>
        <w:t>支出绩效自评价报告</w:t>
      </w:r>
    </w:p>
    <w:p>
      <w:pPr>
        <w:keepNext w:val="0"/>
        <w:keepLines w:val="0"/>
        <w:pageBreakBefore w:val="0"/>
        <w:kinsoku/>
        <w:wordWrap/>
        <w:overflowPunct/>
        <w:topLinePunct w:val="0"/>
        <w:autoSpaceDE/>
        <w:bidi w:val="0"/>
        <w:adjustRightInd/>
        <w:snapToGrid w:val="0"/>
        <w:spacing w:line="560" w:lineRule="exact"/>
        <w:ind w:left="0" w:leftChars="0" w:firstLine="643" w:firstLineChars="200"/>
        <w:rPr>
          <w:rFonts w:hint="eastAsia" w:ascii="仿宋_GB2312" w:hAnsi="仿宋_GB2312" w:eastAsia="仿宋_GB2312" w:cs="仿宋_GB2312"/>
          <w:b/>
          <w:bCs/>
          <w:sz w:val="32"/>
          <w:szCs w:val="32"/>
          <w:lang w:eastAsia="zh-CN"/>
        </w:rPr>
      </w:pPr>
    </w:p>
    <w:p>
      <w:pPr>
        <w:keepNext w:val="0"/>
        <w:keepLines w:val="0"/>
        <w:pageBreakBefore w:val="0"/>
        <w:kinsoku/>
        <w:wordWrap/>
        <w:overflowPunct/>
        <w:topLinePunct w:val="0"/>
        <w:autoSpaceDE/>
        <w:bidi w:val="0"/>
        <w:adjustRightInd/>
        <w:snapToGrid w:val="0"/>
        <w:spacing w:line="560" w:lineRule="exact"/>
        <w:ind w:left="0" w:leftChars="0"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一、</w:t>
      </w:r>
      <w:r>
        <w:rPr>
          <w:rFonts w:hint="eastAsia" w:ascii="仿宋_GB2312" w:hAnsi="仿宋_GB2312" w:eastAsia="仿宋_GB2312" w:cs="仿宋_GB2312"/>
          <w:b/>
          <w:bCs/>
          <w:sz w:val="32"/>
          <w:szCs w:val="32"/>
        </w:rPr>
        <w:t>基本情况</w:t>
      </w:r>
    </w:p>
    <w:p>
      <w:pPr>
        <w:keepNext w:val="0"/>
        <w:keepLines w:val="0"/>
        <w:pageBreakBefore w:val="0"/>
        <w:kinsoku/>
        <w:wordWrap/>
        <w:overflowPunct/>
        <w:topLinePunct w:val="0"/>
        <w:autoSpaceDE/>
        <w:bidi w:val="0"/>
        <w:adjustRightInd/>
        <w:snapToGrid w:val="0"/>
        <w:spacing w:line="560" w:lineRule="exact"/>
        <w:ind w:left="0"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 w:eastAsia="仿宋_GB2312"/>
          <w:b/>
          <w:bCs/>
          <w:sz w:val="32"/>
          <w:szCs w:val="32"/>
        </w:rPr>
        <w:t>1．</w:t>
      </w:r>
      <w:r>
        <w:rPr>
          <w:rFonts w:hint="eastAsia" w:ascii="仿宋_GB2312" w:hAnsi="仿宋_GB2312" w:eastAsia="仿宋_GB2312" w:cs="仿宋_GB2312"/>
          <w:bCs/>
          <w:sz w:val="32"/>
          <w:szCs w:val="32"/>
        </w:rPr>
        <w:t>根据开阳县机构编制委员会关于组建开阳县商务和投资促进局的通知（开机编</w:t>
      </w:r>
      <w:r>
        <w:rPr>
          <w:rFonts w:hint="eastAsia" w:ascii="仿宋_GB2312" w:hAnsi="仿宋_GB2312" w:eastAsia="仿宋_GB2312" w:cs="仿宋_GB2312"/>
          <w:sz w:val="32"/>
          <w:szCs w:val="32"/>
        </w:rPr>
        <w:t>〔2014〕58号）文件精神，我单位行政编制数为</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名，机关工勤编制1名，</w:t>
      </w:r>
      <w:r>
        <w:rPr>
          <w:rFonts w:hint="eastAsia" w:ascii="仿宋_GB2312" w:hAnsi="仿宋_GB2312" w:eastAsia="仿宋_GB2312" w:cs="仿宋_GB2312"/>
          <w:sz w:val="32"/>
          <w:szCs w:val="32"/>
          <w:lang w:eastAsia="zh-CN"/>
        </w:rPr>
        <w:t>后</w:t>
      </w:r>
      <w:r>
        <w:rPr>
          <w:rFonts w:hint="eastAsia" w:ascii="仿宋_GB2312" w:hAnsi="仿宋_GB2312" w:eastAsia="仿宋_GB2312" w:cs="仿宋_GB2312"/>
          <w:sz w:val="32"/>
          <w:szCs w:val="32"/>
          <w:lang w:val="en-US" w:eastAsia="zh-CN"/>
        </w:rPr>
        <w:t>2019年机构改革调整为行政编制7名，机关工勤编制1名。</w:t>
      </w:r>
      <w:r>
        <w:rPr>
          <w:rFonts w:hint="eastAsia" w:ascii="仿宋_GB2312" w:hAnsi="仿宋_GB2312" w:eastAsia="仿宋_GB2312" w:cs="仿宋_GB2312"/>
          <w:sz w:val="32"/>
          <w:szCs w:val="32"/>
        </w:rPr>
        <w:t>下属副科级单位开阳县商务综合行政执法大队事业编制6名，下属正股级事业单位开阳县会展经济促进中心事业编制</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名，下属正股级事业单位开阳县招商引资代办服务中心事业编制5名，</w:t>
      </w:r>
      <w:r>
        <w:rPr>
          <w:rFonts w:hint="eastAsia" w:ascii="仿宋_GB2312" w:hAnsi="仿宋_GB2312" w:eastAsia="仿宋_GB2312" w:cs="仿宋_GB2312"/>
          <w:sz w:val="32"/>
          <w:szCs w:val="32"/>
          <w:lang w:val="en-US" w:eastAsia="zh-CN"/>
        </w:rPr>
        <w:t>2020年新成立所属副科级事业单位开阳县安商服务中心事业编制19名。</w:t>
      </w:r>
      <w:r>
        <w:rPr>
          <w:rFonts w:hint="eastAsia" w:ascii="仿宋_GB2312" w:hAnsi="仿宋_GB2312" w:eastAsia="仿宋_GB2312" w:cs="仿宋_GB2312"/>
          <w:sz w:val="32"/>
          <w:szCs w:val="32"/>
        </w:rPr>
        <w:t>经费由县财政全额预算管理。</w:t>
      </w:r>
      <w:r>
        <w:rPr>
          <w:rFonts w:hint="eastAsia" w:ascii="仿宋_GB2312" w:hAnsi="仿宋_GB2312" w:eastAsia="仿宋_GB2312" w:cs="仿宋_GB2312"/>
          <w:sz w:val="32"/>
          <w:szCs w:val="32"/>
          <w:lang w:eastAsia="zh-CN"/>
        </w:rPr>
        <w:t>2022年</w:t>
      </w:r>
      <w:r>
        <w:rPr>
          <w:rFonts w:hint="eastAsia" w:ascii="仿宋_GB2312" w:hAnsi="仿宋_GB2312" w:eastAsia="仿宋_GB2312" w:cs="仿宋_GB2312"/>
          <w:sz w:val="32"/>
          <w:szCs w:val="32"/>
        </w:rPr>
        <w:t>末，全局核定行政编制</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名，机关工勤1名，事业编制</w:t>
      </w:r>
      <w:r>
        <w:rPr>
          <w:rFonts w:hint="eastAsia" w:ascii="仿宋_GB2312" w:hAnsi="仿宋_GB2312" w:eastAsia="仿宋_GB2312" w:cs="仿宋_GB2312"/>
          <w:sz w:val="32"/>
          <w:szCs w:val="32"/>
          <w:lang w:val="en-US" w:eastAsia="zh-CN"/>
        </w:rPr>
        <w:t>39</w:t>
      </w:r>
      <w:r>
        <w:rPr>
          <w:rFonts w:hint="eastAsia" w:ascii="仿宋_GB2312" w:hAnsi="仿宋_GB2312" w:eastAsia="仿宋_GB2312" w:cs="仿宋_GB2312"/>
          <w:sz w:val="32"/>
          <w:szCs w:val="32"/>
        </w:rPr>
        <w:t>名，全额财政拨款。</w:t>
      </w:r>
      <w:r>
        <w:rPr>
          <w:rFonts w:hint="eastAsia" w:ascii="仿宋_GB2312" w:hAnsi="仿宋_GB2312" w:eastAsia="仿宋_GB2312" w:cs="仿宋_GB2312"/>
          <w:sz w:val="32"/>
          <w:szCs w:val="32"/>
          <w:lang w:eastAsia="zh-CN"/>
        </w:rPr>
        <w:t>2022年</w:t>
      </w:r>
      <w:r>
        <w:rPr>
          <w:rFonts w:hint="eastAsia" w:ascii="仿宋_GB2312" w:hAnsi="仿宋_GB2312" w:eastAsia="仿宋_GB2312" w:cs="仿宋_GB2312"/>
          <w:sz w:val="32"/>
          <w:szCs w:val="32"/>
        </w:rPr>
        <w:t>末在职在编行政人员</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人，事业人员</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名。</w:t>
      </w:r>
    </w:p>
    <w:p>
      <w:pPr>
        <w:keepNext w:val="0"/>
        <w:keepLines w:val="0"/>
        <w:pageBreakBefore w:val="0"/>
        <w:kinsoku/>
        <w:wordWrap/>
        <w:overflowPunct/>
        <w:topLinePunct w:val="0"/>
        <w:autoSpaceDE/>
        <w:bidi w:val="0"/>
        <w:adjustRightInd/>
        <w:snapToGrid w:val="0"/>
        <w:spacing w:line="560" w:lineRule="exact"/>
        <w:ind w:left="0" w:leftChars="0" w:firstLine="643" w:firstLineChars="200"/>
        <w:rPr>
          <w:rFonts w:hint="eastAsia" w:ascii="仿宋_GB2312" w:hAnsi="仿宋" w:eastAsia="仿宋_GB2312"/>
          <w:sz w:val="32"/>
          <w:szCs w:val="32"/>
        </w:rPr>
      </w:pPr>
      <w:r>
        <w:rPr>
          <w:rFonts w:hint="eastAsia" w:ascii="仿宋_GB2312" w:hAnsi="仿宋" w:eastAsia="仿宋_GB2312"/>
          <w:b/>
          <w:bCs/>
          <w:sz w:val="32"/>
          <w:szCs w:val="32"/>
        </w:rPr>
        <w:t>2．</w:t>
      </w:r>
      <w:r>
        <w:rPr>
          <w:rFonts w:hint="eastAsia" w:ascii="仿宋_GB2312" w:hAnsi="仿宋_GB2312" w:eastAsia="仿宋_GB2312" w:cs="仿宋_GB2312"/>
          <w:sz w:val="32"/>
          <w:szCs w:val="32"/>
          <w:lang w:eastAsia="zh-CN"/>
        </w:rPr>
        <w:t>2022年</w:t>
      </w:r>
      <w:r>
        <w:rPr>
          <w:rFonts w:hint="eastAsia" w:ascii="仿宋_GB2312" w:hAnsi="仿宋_GB2312" w:eastAsia="仿宋_GB2312" w:cs="仿宋_GB2312"/>
          <w:sz w:val="32"/>
          <w:szCs w:val="32"/>
        </w:rPr>
        <w:t>度纳入本部门决算汇编范围的独立核算单位共1个，为开阳县商务和投资促进局本级</w:t>
      </w:r>
      <w:r>
        <w:rPr>
          <w:rFonts w:hint="eastAsia" w:ascii="仿宋_GB2312" w:hAnsi="仿宋" w:eastAsia="仿宋_GB2312"/>
          <w:sz w:val="32"/>
          <w:szCs w:val="32"/>
        </w:rPr>
        <w:t>。</w:t>
      </w:r>
    </w:p>
    <w:p>
      <w:pPr>
        <w:keepNext w:val="0"/>
        <w:keepLines w:val="0"/>
        <w:pageBreakBefore w:val="0"/>
        <w:kinsoku/>
        <w:wordWrap/>
        <w:overflowPunct/>
        <w:topLinePunct w:val="0"/>
        <w:autoSpaceDE/>
        <w:bidi w:val="0"/>
        <w:adjustRightInd/>
        <w:snapToGrid w:val="0"/>
        <w:spacing w:line="560" w:lineRule="exact"/>
        <w:ind w:left="0" w:leftChars="0" w:firstLine="643" w:firstLineChars="200"/>
        <w:rPr>
          <w:rFonts w:hint="eastAsia" w:ascii="仿宋_GB2312" w:hAnsi="仿宋" w:eastAsia="仿宋_GB2312"/>
          <w:sz w:val="32"/>
          <w:szCs w:val="32"/>
        </w:rPr>
      </w:pPr>
      <w:r>
        <w:rPr>
          <w:rFonts w:hint="eastAsia" w:ascii="仿宋_GB2312" w:hAnsi="仿宋" w:eastAsia="仿宋_GB2312"/>
          <w:b/>
          <w:bCs/>
          <w:sz w:val="32"/>
          <w:szCs w:val="32"/>
        </w:rPr>
        <w:t>3．</w:t>
      </w:r>
      <w:r>
        <w:rPr>
          <w:rFonts w:hint="eastAsia" w:ascii="仿宋_GB2312" w:hAnsi="仿宋_GB2312" w:eastAsia="仿宋_GB2312" w:cs="仿宋_GB2312"/>
          <w:sz w:val="32"/>
          <w:szCs w:val="32"/>
          <w:lang w:eastAsia="zh-CN"/>
        </w:rPr>
        <w:t>2022年</w:t>
      </w:r>
      <w:r>
        <w:rPr>
          <w:rFonts w:hint="eastAsia" w:ascii="仿宋_GB2312" w:hAnsi="仿宋_GB2312" w:eastAsia="仿宋_GB2312" w:cs="仿宋_GB2312"/>
          <w:sz w:val="32"/>
          <w:szCs w:val="32"/>
        </w:rPr>
        <w:t>末，我局在职行政人员</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机关工勤</w:t>
      </w:r>
      <w:r>
        <w:rPr>
          <w:rFonts w:hint="eastAsia" w:ascii="仿宋_GB2312" w:hAnsi="仿宋_GB2312" w:eastAsia="仿宋_GB2312" w:cs="仿宋_GB2312"/>
          <w:sz w:val="32"/>
          <w:szCs w:val="32"/>
          <w:lang w:val="en-US" w:eastAsia="zh-CN"/>
        </w:rPr>
        <w:t>1人</w:t>
      </w:r>
      <w:r>
        <w:rPr>
          <w:rFonts w:hint="eastAsia" w:ascii="仿宋_GB2312" w:hAnsi="仿宋_GB2312" w:eastAsia="仿宋_GB2312" w:cs="仿宋_GB2312"/>
          <w:sz w:val="32"/>
          <w:szCs w:val="32"/>
        </w:rPr>
        <w:t>，在职事业人员</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名</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lang w:val="en-US" w:eastAsia="zh-CN"/>
        </w:rPr>
        <w:t>1名事业工勤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调出</w:t>
      </w:r>
      <w:r>
        <w:rPr>
          <w:rFonts w:hint="eastAsia" w:ascii="仿宋_GB2312" w:hAnsi="仿宋_GB2312" w:eastAsia="仿宋_GB2312" w:cs="仿宋_GB2312"/>
          <w:sz w:val="32"/>
          <w:szCs w:val="32"/>
          <w:lang w:val="en-US" w:eastAsia="zh-CN"/>
        </w:rPr>
        <w:t>3人，解除聘用合同2</w:t>
      </w:r>
      <w:bookmarkStart w:id="0" w:name="_GoBack"/>
      <w:bookmarkEnd w:id="0"/>
      <w:r>
        <w:rPr>
          <w:rFonts w:hint="eastAsia" w:ascii="仿宋_GB2312" w:hAnsi="仿宋_GB2312" w:eastAsia="仿宋_GB2312" w:cs="仿宋_GB2312"/>
          <w:sz w:val="32"/>
          <w:szCs w:val="32"/>
          <w:lang w:val="en-US" w:eastAsia="zh-CN"/>
        </w:rPr>
        <w:t>人，1人调任公务员职务</w:t>
      </w:r>
      <w:r>
        <w:rPr>
          <w:rFonts w:hint="eastAsia" w:ascii="仿宋_GB2312" w:hAnsi="仿宋" w:eastAsia="仿宋_GB2312"/>
          <w:sz w:val="32"/>
          <w:szCs w:val="32"/>
        </w:rPr>
        <w:t>。</w:t>
      </w:r>
    </w:p>
    <w:p>
      <w:pPr>
        <w:keepNext w:val="0"/>
        <w:keepLines w:val="0"/>
        <w:pageBreakBefore w:val="0"/>
        <w:widowControl w:val="0"/>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val="0"/>
        <w:spacing w:before="0" w:beforeAutospacing="0" w:after="0" w:afterAutospacing="0" w:line="560" w:lineRule="exact"/>
        <w:ind w:left="0" w:leftChars="0" w:firstLine="643"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val="0"/>
          <w:kern w:val="2"/>
          <w:sz w:val="32"/>
          <w:szCs w:val="32"/>
          <w:lang w:val="en-US" w:eastAsia="zh-CN" w:bidi="ar-SA"/>
        </w:rPr>
        <w:t>4.</w:t>
      </w:r>
      <w:r>
        <w:rPr>
          <w:rFonts w:hint="eastAsia" w:ascii="仿宋_GB2312" w:hAnsi="仿宋_GB2312" w:eastAsia="仿宋_GB2312" w:cs="仿宋_GB2312"/>
          <w:color w:val="auto"/>
          <w:sz w:val="32"/>
          <w:szCs w:val="32"/>
          <w:highlight w:val="none"/>
          <w:lang w:val="en-US" w:eastAsia="zh-CN"/>
        </w:rPr>
        <w:t>2022年，我局年初预算</w:t>
      </w:r>
      <w:r>
        <w:rPr>
          <w:rFonts w:hint="eastAsia" w:ascii="仿宋_GB2312" w:eastAsia="仿宋_GB2312" w:cs="仿宋_GB2312"/>
          <w:sz w:val="32"/>
          <w:szCs w:val="32"/>
          <w:lang w:val="en-US" w:eastAsia="zh-CN"/>
        </w:rPr>
        <w:t>1113.15</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sz w:val="32"/>
          <w:szCs w:val="32"/>
        </w:rPr>
        <w:t>按上年决算推算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200万元第三产业发展扶持资金县级匹配部分。</w:t>
      </w:r>
      <w:r>
        <w:rPr>
          <w:rFonts w:hint="eastAsia" w:ascii="仿宋_GB2312" w:hAnsi="仿宋_GB2312" w:eastAsia="仿宋_GB2312" w:cs="仿宋_GB2312"/>
          <w:sz w:val="32"/>
          <w:szCs w:val="32"/>
        </w:rPr>
        <w:t>财政拨款收入为</w:t>
      </w:r>
      <w:r>
        <w:rPr>
          <w:rFonts w:hint="eastAsia" w:ascii="仿宋_GB2312" w:hAnsi="仿宋_GB2312" w:eastAsia="仿宋_GB2312" w:cs="仿宋_GB2312"/>
          <w:sz w:val="32"/>
          <w:szCs w:val="32"/>
          <w:lang w:val="en-US" w:eastAsia="zh-CN"/>
        </w:rPr>
        <w:t>984.82</w:t>
      </w:r>
      <w:r>
        <w:rPr>
          <w:rFonts w:hint="eastAsia" w:ascii="仿宋_GB2312" w:hAnsi="仿宋_GB2312" w:eastAsia="仿宋_GB2312" w:cs="仿宋_GB2312"/>
          <w:sz w:val="32"/>
          <w:szCs w:val="32"/>
        </w:rPr>
        <w:t>万元，较20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年收入</w:t>
      </w:r>
      <w:r>
        <w:rPr>
          <w:rFonts w:hint="eastAsia" w:ascii="仿宋_GB2312" w:hAnsi="仿宋_GB2312" w:eastAsia="仿宋_GB2312" w:cs="仿宋_GB2312"/>
          <w:sz w:val="32"/>
          <w:szCs w:val="32"/>
          <w:lang w:val="en-US" w:eastAsia="zh-CN"/>
        </w:rPr>
        <w:t>883.81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101</w:t>
      </w:r>
      <w:r>
        <w:rPr>
          <w:rFonts w:hint="eastAsia" w:ascii="仿宋_GB2312" w:hAnsi="仿宋_GB2312" w:eastAsia="仿宋_GB2312" w:cs="仿宋_GB2312"/>
          <w:sz w:val="32"/>
          <w:szCs w:val="32"/>
        </w:rPr>
        <w:t>万元，主要为</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拨付省、市对企业补助资金以及县级匹配部分增加</w:t>
      </w:r>
      <w:r>
        <w:rPr>
          <w:rFonts w:hint="eastAsia" w:ascii="仿宋_GB2312" w:hAnsi="仿宋_GB2312" w:eastAsia="仿宋_GB2312" w:cs="仿宋_GB2312"/>
          <w:sz w:val="32"/>
          <w:szCs w:val="32"/>
        </w:rPr>
        <w:t>。</w:t>
      </w:r>
    </w:p>
    <w:p>
      <w:pPr>
        <w:keepNext w:val="0"/>
        <w:keepLines w:val="0"/>
        <w:pageBreakBefore w:val="0"/>
        <w:widowControl w:val="0"/>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调整预算原因是：</w:t>
      </w:r>
      <w:r>
        <w:rPr>
          <w:rFonts w:hint="eastAsia" w:ascii="仿宋_GB2312" w:hAnsi="仿宋_GB2312" w:eastAsia="仿宋_GB2312" w:cs="仿宋_GB2312"/>
          <w:sz w:val="32"/>
          <w:szCs w:val="32"/>
          <w:lang w:val="en-US" w:eastAsia="zh-CN"/>
        </w:rPr>
        <w:t>2022年因人员变动大，只调整了工资户的基本预算部分，项目预算未调整。</w:t>
      </w:r>
    </w:p>
    <w:p>
      <w:pPr>
        <w:keepNext w:val="0"/>
        <w:keepLines w:val="0"/>
        <w:pageBreakBefore w:val="0"/>
        <w:widowControl w:val="0"/>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baseline"/>
        <w:rPr>
          <w:rFonts w:hint="eastAsia"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kern w:val="2"/>
          <w:sz w:val="32"/>
          <w:szCs w:val="32"/>
          <w:lang w:val="en-US" w:eastAsia="zh-CN" w:bidi="ar-SA"/>
        </w:rPr>
        <w:t>（二）2022年全年目标任务：</w:t>
      </w:r>
    </w:p>
    <w:p>
      <w:pPr>
        <w:keepNext w:val="0"/>
        <w:keepLines w:val="0"/>
        <w:pageBreakBefore w:val="0"/>
        <w:widowControl w:val="0"/>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val="0"/>
        <w:spacing w:before="0" w:beforeAutospacing="0" w:after="0" w:afterAutospacing="0" w:line="560" w:lineRule="exact"/>
        <w:ind w:left="638" w:leftChars="304" w:firstLine="0" w:firstLineChars="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bCs/>
          <w:kern w:val="2"/>
          <w:sz w:val="32"/>
          <w:szCs w:val="32"/>
          <w:lang w:val="en-US" w:eastAsia="zh-CN" w:bidi="ar-SA"/>
        </w:rPr>
        <w:t>目标1：招商引资</w:t>
      </w:r>
      <w:r>
        <w:rPr>
          <w:rFonts w:hint="eastAsia" w:ascii="仿宋_GB2312" w:hAnsi="仿宋_GB2312" w:eastAsia="仿宋_GB2312" w:cs="仿宋_GB2312"/>
          <w:sz w:val="32"/>
          <w:szCs w:val="32"/>
          <w:lang w:eastAsia="zh-CN"/>
        </w:rPr>
        <w:t>完成省市平台产业到位资金90个亿</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目标</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kern w:val="2"/>
          <w:sz w:val="32"/>
          <w:szCs w:val="32"/>
          <w:lang w:val="en-US" w:eastAsia="zh-CN" w:bidi="ar-SA"/>
        </w:rPr>
        <w:t>招商引资</w:t>
      </w:r>
      <w:r>
        <w:rPr>
          <w:rFonts w:hint="eastAsia" w:ascii="仿宋_GB2312" w:hAnsi="仿宋_GB2312" w:eastAsia="仿宋_GB2312" w:cs="仿宋_GB2312"/>
          <w:sz w:val="32"/>
          <w:szCs w:val="32"/>
          <w:lang w:eastAsia="zh-CN"/>
        </w:rPr>
        <w:t>完成实际利用外资5500万美元</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目标</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kern w:val="2"/>
          <w:sz w:val="32"/>
          <w:szCs w:val="32"/>
          <w:lang w:val="en-US" w:eastAsia="zh-CN" w:bidi="ar-SA"/>
        </w:rPr>
        <w:t>招商引资</w:t>
      </w:r>
      <w:r>
        <w:rPr>
          <w:rFonts w:hint="eastAsia" w:ascii="仿宋_GB2312" w:hAnsi="仿宋_GB2312" w:eastAsia="仿宋_GB2312" w:cs="仿宋_GB2312"/>
          <w:sz w:val="32"/>
          <w:szCs w:val="32"/>
          <w:lang w:eastAsia="zh-CN"/>
        </w:rPr>
        <w:t xml:space="preserve">完成新签约项目30个以上  </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目标</w:t>
      </w:r>
      <w:r>
        <w:rPr>
          <w:rFonts w:hint="eastAsia" w:ascii="仿宋_GB2312" w:hAnsi="仿宋_GB2312" w:eastAsia="仿宋_GB2312" w:cs="仿宋_GB2312"/>
          <w:sz w:val="32"/>
          <w:szCs w:val="32"/>
          <w:lang w:val="en-US" w:eastAsia="zh-CN"/>
        </w:rPr>
        <w:t>4：力争</w:t>
      </w:r>
      <w:r>
        <w:rPr>
          <w:rFonts w:hint="eastAsia" w:ascii="仿宋_GB2312" w:hAnsi="仿宋_GB2312" w:eastAsia="仿宋_GB2312" w:cs="仿宋_GB2312"/>
          <w:sz w:val="32"/>
          <w:szCs w:val="32"/>
          <w:lang w:eastAsia="zh-CN"/>
        </w:rPr>
        <w:t>开阳县营商环境评估进入全省</w:t>
      </w:r>
      <w:r>
        <w:rPr>
          <w:rFonts w:hint="eastAsia" w:ascii="仿宋_GB2312" w:hAnsi="仿宋_GB2312" w:eastAsia="仿宋_GB2312" w:cs="仿宋_GB2312"/>
          <w:sz w:val="32"/>
          <w:szCs w:val="32"/>
          <w:lang w:val="en-US" w:eastAsia="zh-CN"/>
        </w:rPr>
        <w:t>前</w:t>
      </w:r>
      <w:r>
        <w:rPr>
          <w:rFonts w:hint="eastAsia" w:ascii="仿宋_GB2312" w:hAnsi="仿宋_GB2312" w:eastAsia="仿宋_GB2312" w:cs="仿宋_GB2312"/>
          <w:sz w:val="32"/>
          <w:szCs w:val="32"/>
          <w:lang w:eastAsia="zh-CN"/>
        </w:rPr>
        <w:t>20名</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目标</w:t>
      </w:r>
      <w:r>
        <w:rPr>
          <w:rFonts w:hint="eastAsia" w:ascii="仿宋_GB2312" w:hAnsi="仿宋_GB2312" w:eastAsia="仿宋_GB2312" w:cs="仿宋_GB2312"/>
          <w:sz w:val="32"/>
          <w:szCs w:val="32"/>
          <w:lang w:val="en-US" w:eastAsia="zh-CN"/>
        </w:rPr>
        <w:t>5：建设惠民生鲜超市2个</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目标6：改造农贸市场2个 </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目标7：培育限上企业主体不少于10家</w:t>
      </w:r>
    </w:p>
    <w:p>
      <w:pPr>
        <w:keepNext w:val="0"/>
        <w:keepLines w:val="0"/>
        <w:pageBreakBefore w:val="0"/>
        <w:kinsoku/>
        <w:wordWrap/>
        <w:overflowPunct/>
        <w:topLinePunct w:val="0"/>
        <w:autoSpaceDE/>
        <w:bidi w:val="0"/>
        <w:adjustRightInd/>
        <w:snapToGrid w:val="0"/>
        <w:spacing w:line="560" w:lineRule="exact"/>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目标8：建成省级电商示范县1个并积极申报国家级</w:t>
      </w:r>
    </w:p>
    <w:p>
      <w:pPr>
        <w:keepNext w:val="0"/>
        <w:keepLines w:val="0"/>
        <w:pageBreakBefore w:val="0"/>
        <w:kinsoku/>
        <w:wordWrap/>
        <w:overflowPunct/>
        <w:topLinePunct w:val="0"/>
        <w:autoSpaceDE/>
        <w:bidi w:val="0"/>
        <w:adjustRightInd/>
        <w:snapToGrid w:val="0"/>
        <w:spacing w:line="560" w:lineRule="exact"/>
        <w:ind w:left="0" w:leftChars="0"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绩效评价工作开展情况</w:t>
      </w:r>
    </w:p>
    <w:p>
      <w:pPr>
        <w:keepNext w:val="0"/>
        <w:keepLines w:val="0"/>
        <w:pageBreakBefore w:val="0"/>
        <w:kinsoku/>
        <w:wordWrap/>
        <w:overflowPunct/>
        <w:topLinePunct w:val="0"/>
        <w:autoSpaceDE/>
        <w:bidi w:val="0"/>
        <w:adjustRightInd/>
        <w:snapToGrid w:val="0"/>
        <w:spacing w:line="560" w:lineRule="exact"/>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绩效评价目的、对象和范围</w:t>
      </w:r>
      <w:r>
        <w:rPr>
          <w:rFonts w:hint="eastAsia" w:ascii="仿宋_GB2312" w:hAnsi="仿宋_GB2312" w:eastAsia="仿宋_GB2312" w:cs="仿宋_GB2312"/>
          <w:sz w:val="32"/>
          <w:szCs w:val="32"/>
          <w:lang w:eastAsia="zh-CN"/>
        </w:rPr>
        <w:t>。</w:t>
      </w:r>
    </w:p>
    <w:p>
      <w:pPr>
        <w:pStyle w:val="10"/>
        <w:keepNext w:val="0"/>
        <w:keepLines w:val="0"/>
        <w:pageBreakBefore w:val="0"/>
        <w:kinsoku/>
        <w:wordWrap/>
        <w:overflowPunct/>
        <w:topLinePunct w:val="0"/>
        <w:autoSpaceDE/>
        <w:bidi w:val="0"/>
        <w:adjustRightInd/>
        <w:snapToGrid w:val="0"/>
        <w:spacing w:line="560" w:lineRule="exact"/>
        <w:ind w:left="0" w:leftChars="0"/>
        <w:rPr>
          <w:rFonts w:hint="eastAsia"/>
          <w:lang w:eastAsia="zh-CN"/>
        </w:rPr>
      </w:pPr>
      <w:r>
        <w:rPr>
          <w:rFonts w:hint="eastAsia" w:ascii="仿宋_GB2312" w:hAnsi="仿宋_GB2312" w:eastAsia="仿宋_GB2312" w:cs="仿宋_GB2312"/>
          <w:sz w:val="32"/>
          <w:szCs w:val="32"/>
          <w:lang w:eastAsia="zh-CN"/>
        </w:rPr>
        <w:t>五个项目：招商引资工作业务费、商贸事务工作业务费、营商环境工作业务费、电商示范县创建项目、商贸第三产业发展扶持资金。</w:t>
      </w:r>
    </w:p>
    <w:p>
      <w:pPr>
        <w:keepNext w:val="0"/>
        <w:keepLines w:val="0"/>
        <w:pageBreakBefore w:val="0"/>
        <w:numPr>
          <w:ilvl w:val="0"/>
          <w:numId w:val="1"/>
        </w:numPr>
        <w:kinsoku/>
        <w:wordWrap/>
        <w:overflowPunct/>
        <w:topLinePunct w:val="0"/>
        <w:autoSpaceDE/>
        <w:bidi w:val="0"/>
        <w:adjustRightInd/>
        <w:snapToGrid w:val="0"/>
        <w:spacing w:line="560" w:lineRule="exact"/>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绩效评价原则、评价指标体系(附表说明)、评价方法、评价标准等</w:t>
      </w:r>
      <w:r>
        <w:rPr>
          <w:rFonts w:hint="eastAsia" w:ascii="仿宋_GB2312" w:hAnsi="仿宋_GB2312" w:eastAsia="仿宋_GB2312" w:cs="仿宋_GB2312"/>
          <w:sz w:val="32"/>
          <w:szCs w:val="32"/>
          <w:lang w:eastAsia="zh-CN"/>
        </w:rPr>
        <w:t>。</w:t>
      </w:r>
    </w:p>
    <w:tbl>
      <w:tblPr>
        <w:tblStyle w:val="11"/>
        <w:tblpPr w:leftFromText="180" w:rightFromText="180" w:vertAnchor="text" w:horzAnchor="page" w:tblpX="1296" w:tblpY="171"/>
        <w:tblOverlap w:val="never"/>
        <w:tblW w:w="102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95"/>
        <w:gridCol w:w="1350"/>
        <w:gridCol w:w="1080"/>
        <w:gridCol w:w="2280"/>
        <w:gridCol w:w="2460"/>
        <w:gridCol w:w="16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3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          效                指                 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数量1</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指标值中增加</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数量2</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质量1</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质量2</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时效1</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符号</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时效2</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成本1</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成本2</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经济效益</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经济效益1</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经济效益2</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社会效益</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社会效益1</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社会效益2</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生态效益</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生态效益1</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生态效益2</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影响</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可持续影响1</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可持续影响2</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    满意度</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服务对象满意度1</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服务对象满意度2</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9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bidi w:val="0"/>
              <w:adjustRightInd/>
              <w:snapToGrid w:val="0"/>
              <w:spacing w:line="560" w:lineRule="exact"/>
              <w:ind w:left="0" w:leftChars="0"/>
              <w:rPr>
                <w:rFonts w:hint="eastAsia" w:ascii="宋体" w:hAnsi="宋体" w:eastAsia="宋体" w:cs="宋体"/>
                <w:i w:val="0"/>
                <w:iCs w:val="0"/>
                <w:color w:val="000000"/>
                <w:sz w:val="22"/>
                <w:szCs w:val="22"/>
                <w:u w:val="none"/>
              </w:rPr>
            </w:pPr>
          </w:p>
        </w:tc>
      </w:tr>
    </w:tbl>
    <w:p>
      <w:pPr>
        <w:pStyle w:val="10"/>
        <w:keepNext w:val="0"/>
        <w:keepLines w:val="0"/>
        <w:pageBreakBefore w:val="0"/>
        <w:kinsoku/>
        <w:wordWrap/>
        <w:overflowPunct/>
        <w:topLinePunct w:val="0"/>
        <w:autoSpaceDE/>
        <w:bidi w:val="0"/>
        <w:adjustRightInd/>
        <w:snapToGrid w:val="0"/>
        <w:spacing w:line="560" w:lineRule="exact"/>
        <w:ind w:left="0" w:leftChars="0"/>
        <w:rPr>
          <w:rFonts w:hint="eastAsia"/>
          <w:lang w:eastAsia="zh-CN"/>
        </w:rPr>
      </w:pPr>
    </w:p>
    <w:p>
      <w:pPr>
        <w:pStyle w:val="10"/>
        <w:keepNext w:val="0"/>
        <w:keepLines w:val="0"/>
        <w:pageBreakBefore w:val="0"/>
        <w:numPr>
          <w:ilvl w:val="0"/>
          <w:numId w:val="0"/>
        </w:numPr>
        <w:kinsoku/>
        <w:wordWrap/>
        <w:overflowPunct/>
        <w:topLinePunct w:val="0"/>
        <w:autoSpaceDE/>
        <w:bidi w:val="0"/>
        <w:adjustRightInd/>
        <w:snapToGrid w:val="0"/>
        <w:spacing w:line="560" w:lineRule="exact"/>
        <w:ind w:left="0" w:leftChars="0"/>
        <w:rPr>
          <w:rFonts w:hint="default"/>
          <w:lang w:val="en-US" w:eastAsia="zh-CN"/>
        </w:rPr>
      </w:pPr>
      <w:r>
        <w:rPr>
          <w:rFonts w:hint="eastAsia"/>
          <w:lang w:val="en-US" w:eastAsia="zh-CN"/>
        </w:rPr>
        <w:t xml:space="preserve">    </w:t>
      </w:r>
      <w:r>
        <w:rPr>
          <w:rFonts w:hint="eastAsia" w:ascii="仿宋_GB2312" w:hAnsi="仿宋_GB2312" w:eastAsia="仿宋_GB2312" w:cs="仿宋_GB2312"/>
          <w:kern w:val="2"/>
          <w:sz w:val="32"/>
          <w:szCs w:val="32"/>
          <w:lang w:val="en-US" w:eastAsia="zh-CN" w:bidi="ar-SA"/>
        </w:rPr>
        <w:t xml:space="preserve"> 根据项目一级、二级、三级指标体系逐项进行评估。 </w:t>
      </w:r>
    </w:p>
    <w:p>
      <w:pPr>
        <w:keepNext w:val="0"/>
        <w:keepLines w:val="0"/>
        <w:pageBreakBefore w:val="0"/>
        <w:numPr>
          <w:ilvl w:val="0"/>
          <w:numId w:val="1"/>
        </w:numPr>
        <w:kinsoku/>
        <w:wordWrap/>
        <w:overflowPunct/>
        <w:topLinePunct w:val="0"/>
        <w:autoSpaceDE/>
        <w:bidi w:val="0"/>
        <w:adjustRightInd/>
        <w:snapToGrid w:val="0"/>
        <w:spacing w:line="560" w:lineRule="exact"/>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绩效评价工作过程</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bidi w:val="0"/>
        <w:adjustRightInd/>
        <w:snapToGrid w:val="0"/>
        <w:spacing w:line="560" w:lineRule="exact"/>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按照年初签订的目标考核责任书，经县委督办督查局目标考核办公室逐项打分，上级指标考核体系通过省、市平台认可数据反馈指标完成结果。接受上级项目绩效考核验收等。</w:t>
      </w:r>
    </w:p>
    <w:p>
      <w:pPr>
        <w:keepNext w:val="0"/>
        <w:keepLines w:val="0"/>
        <w:pageBreakBefore w:val="0"/>
        <w:numPr>
          <w:ilvl w:val="0"/>
          <w:numId w:val="2"/>
        </w:numPr>
        <w:kinsoku/>
        <w:wordWrap/>
        <w:overflowPunct/>
        <w:topLinePunct w:val="0"/>
        <w:autoSpaceDE/>
        <w:bidi w:val="0"/>
        <w:adjustRightInd/>
        <w:snapToGrid w:val="0"/>
        <w:spacing w:line="560" w:lineRule="exact"/>
        <w:ind w:left="0" w:leftChars="0" w:firstLine="643"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综合评价情况及评价结论(附相关评分表)</w:t>
      </w:r>
    </w:p>
    <w:tbl>
      <w:tblPr>
        <w:tblStyle w:val="11"/>
        <w:tblpPr w:leftFromText="180" w:rightFromText="180" w:vertAnchor="text" w:horzAnchor="page" w:tblpX="91" w:tblpY="673"/>
        <w:tblOverlap w:val="never"/>
        <w:tblW w:w="113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76"/>
        <w:gridCol w:w="972"/>
        <w:gridCol w:w="794"/>
        <w:gridCol w:w="1568"/>
        <w:gridCol w:w="1849"/>
        <w:gridCol w:w="1372"/>
        <w:gridCol w:w="576"/>
        <w:gridCol w:w="1160"/>
        <w:gridCol w:w="505"/>
        <w:gridCol w:w="1117"/>
        <w:gridCol w:w="6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11300" w:type="dxa"/>
            <w:gridSpan w:val="11"/>
            <w:tcBorders>
              <w:top w:val="nil"/>
              <w:left w:val="nil"/>
              <w:bottom w:val="nil"/>
              <w:right w:val="nil"/>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部门整体支出绩效自评表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 w:hRule="atLeast"/>
        </w:trPr>
        <w:tc>
          <w:tcPr>
            <w:tcW w:w="11300" w:type="dxa"/>
            <w:gridSpan w:val="11"/>
            <w:tcBorders>
              <w:top w:val="nil"/>
              <w:left w:val="nil"/>
              <w:bottom w:val="nil"/>
              <w:right w:val="nil"/>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 w:hRule="atLeast"/>
        </w:trPr>
        <w:tc>
          <w:tcPr>
            <w:tcW w:w="2367" w:type="dxa"/>
            <w:gridSpan w:val="3"/>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单位（盖章）：</w:t>
            </w:r>
          </w:p>
        </w:tc>
        <w:tc>
          <w:tcPr>
            <w:tcW w:w="1571" w:type="dxa"/>
            <w:tcBorders>
              <w:top w:val="nil"/>
              <w:left w:val="nil"/>
              <w:bottom w:val="single" w:color="000000" w:sz="4" w:space="0"/>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c>
          <w:tcPr>
            <w:tcW w:w="3300" w:type="dxa"/>
            <w:gridSpan w:val="2"/>
            <w:tcBorders>
              <w:top w:val="nil"/>
              <w:left w:val="nil"/>
              <w:bottom w:val="single" w:color="000000" w:sz="4" w:space="0"/>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c>
          <w:tcPr>
            <w:tcW w:w="579" w:type="dxa"/>
            <w:tcBorders>
              <w:top w:val="nil"/>
              <w:left w:val="nil"/>
              <w:bottom w:val="single" w:color="000000" w:sz="4" w:space="0"/>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226" w:type="dxa"/>
            <w:tcBorders>
              <w:top w:val="nil"/>
              <w:left w:val="nil"/>
              <w:bottom w:val="single" w:color="000000" w:sz="4" w:space="0"/>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57" w:type="dxa"/>
            <w:gridSpan w:val="3"/>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填报日期：2023.7.25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trPr>
        <w:tc>
          <w:tcPr>
            <w:tcW w:w="2367"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部门（单位）名称</w:t>
            </w:r>
          </w:p>
        </w:tc>
        <w:tc>
          <w:tcPr>
            <w:tcW w:w="8933" w:type="dxa"/>
            <w:gridSpan w:val="8"/>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开阳县商务和投资促进局（901010640001）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2367"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部门（单位）总体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资金（万元）</w:t>
            </w:r>
          </w:p>
        </w:tc>
        <w:tc>
          <w:tcPr>
            <w:tcW w:w="1571"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资金来源</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年初预算数</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全年预算数（A）</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全年执行数（B）</w:t>
            </w:r>
          </w:p>
        </w:tc>
        <w:tc>
          <w:tcPr>
            <w:tcW w:w="5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分值</w:t>
            </w:r>
          </w:p>
        </w:tc>
        <w:tc>
          <w:tcPr>
            <w:tcW w:w="1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执行率</w:t>
            </w:r>
          </w:p>
        </w:tc>
        <w:tc>
          <w:tcPr>
            <w:tcW w:w="6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216" w:hRule="atLeast"/>
        </w:trPr>
        <w:tc>
          <w:tcPr>
            <w:tcW w:w="2367"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年度资金总额：</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1113.16</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1113.16</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984.82</w:t>
            </w:r>
          </w:p>
        </w:tc>
        <w:tc>
          <w:tcPr>
            <w:tcW w:w="5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=B/A*100</w:t>
            </w:r>
          </w:p>
        </w:tc>
        <w:tc>
          <w:tcPr>
            <w:tcW w:w="6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2" w:hRule="atLeast"/>
        </w:trPr>
        <w:tc>
          <w:tcPr>
            <w:tcW w:w="2367"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基本支出</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563.16</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563.16</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638.45</w:t>
            </w:r>
          </w:p>
        </w:tc>
        <w:tc>
          <w:tcPr>
            <w:tcW w:w="5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6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2367"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项目支出</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550</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550</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346.37</w:t>
            </w:r>
          </w:p>
        </w:tc>
        <w:tc>
          <w:tcPr>
            <w:tcW w:w="5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6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2367"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其他资金</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rPr>
                <w:rFonts w:hint="eastAsia" w:ascii="宋体" w:hAnsi="宋体" w:eastAsia="宋体" w:cs="宋体"/>
                <w:i w:val="0"/>
                <w:iCs w:val="0"/>
                <w:color w:val="000000"/>
                <w:sz w:val="22"/>
                <w:szCs w:val="22"/>
                <w:u w:val="none"/>
              </w:rPr>
            </w:pP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5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6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539"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总体</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目标</w:t>
            </w:r>
          </w:p>
        </w:tc>
        <w:tc>
          <w:tcPr>
            <w:tcW w:w="52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预期目标</w:t>
            </w:r>
          </w:p>
        </w:tc>
        <w:tc>
          <w:tcPr>
            <w:tcW w:w="5469"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8" w:hRule="atLeast"/>
        </w:trPr>
        <w:tc>
          <w:tcPr>
            <w:tcW w:w="539" w:type="dxa"/>
            <w:vMerge w:val="continue"/>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52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目标1：完成市《贵阳市优化营商环境攻坚行动计划》年度任务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目标2：统筹县域营商环境指标优化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目标3：完成2022年营商环境评估                                                                                                                                                                                         目标4：完成省市平台产业到位资金90个亿</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目标5：完成实际利用外资5500万美元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目标6：完成外贸进出口2409万美元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目标7：完成新签约项目30个以上                                                                                                                                                                                       目标8：社会消费品零售总额增长7.5%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目标9：新增培育上限入统企业3家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目标10：启动5个加油站项目建设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目标11：建成1个电商驿站示范项目，升级改造1个电商仓配中心，培育1个农产品电商品牌</w:t>
            </w:r>
          </w:p>
        </w:tc>
        <w:tc>
          <w:tcPr>
            <w:tcW w:w="5469"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目标1：完成市《贵阳市优化营商环境攻坚行动计划》年度任务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目标2：统筹县域营商环境指标优化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目标3：完成2022年营商环境评估                                                                                                                                                                                         目标4：完成省市平台产业到位资金106.8个亿</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目标5：完成实际利用外资5273万美元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目标6：完成外贸进出口2409万美元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目标7：完成新签约项目24个以上                                                                                                                                                                                       目标8：社会消费品零售总额增长11.3%</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目标9：新增培育上限入统企业6家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目标10：启动5个加油站项目建设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目标11：建成1个电商驿站示范项目，升级改造1个电商仓配中心，培育1个农产品电商品牌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539" w:type="dxa"/>
            <w:vMerge w:val="restart"/>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绩效指标</w:t>
            </w:r>
          </w:p>
        </w:tc>
        <w:tc>
          <w:tcPr>
            <w:tcW w:w="10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8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1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年度指标值(A)</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实际完成值(B)</w:t>
            </w:r>
          </w:p>
        </w:tc>
        <w:tc>
          <w:tcPr>
            <w:tcW w:w="57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分值</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得分</w:t>
            </w:r>
          </w:p>
        </w:tc>
        <w:tc>
          <w:tcPr>
            <w:tcW w:w="225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2"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(50分)</w:t>
            </w:r>
          </w:p>
        </w:tc>
        <w:tc>
          <w:tcPr>
            <w:tcW w:w="8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实际利用外资</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≥0.55亿</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≥0.55亿</w:t>
            </w:r>
          </w:p>
        </w:tc>
        <w:tc>
          <w:tcPr>
            <w:tcW w:w="579"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2"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新签约项目</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≥30</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579"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社会消费品零售总额增长</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579"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11" w:type="dxa"/>
            <w:tcBorders>
              <w:top w:val="single" w:color="000000" w:sz="4" w:space="0"/>
              <w:left w:val="single" w:color="000000" w:sz="4" w:space="0"/>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119" w:type="dxa"/>
            <w:tcBorders>
              <w:top w:val="single" w:color="000000" w:sz="4" w:space="0"/>
              <w:left w:val="nil"/>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627" w:type="dxa"/>
            <w:tcBorders>
              <w:top w:val="single" w:color="000000" w:sz="4" w:space="0"/>
              <w:left w:val="nil"/>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营商环境指标</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579"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w:t>
            </w:r>
          </w:p>
        </w:tc>
        <w:tc>
          <w:tcPr>
            <w:tcW w:w="1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质量1</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项目落地开工率</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579"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启动建成加油站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11" w:type="dxa"/>
            <w:tcBorders>
              <w:top w:val="single" w:color="000000" w:sz="4" w:space="0"/>
              <w:left w:val="single" w:color="000000" w:sz="4" w:space="0"/>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119" w:type="dxa"/>
            <w:tcBorders>
              <w:top w:val="single" w:color="000000" w:sz="4" w:space="0"/>
              <w:left w:val="nil"/>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627" w:type="dxa"/>
            <w:tcBorders>
              <w:top w:val="single" w:color="000000" w:sz="4" w:space="0"/>
              <w:left w:val="nil"/>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质量2</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减时间办事更高效</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减环节办事更方便</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项目履约率</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11" w:type="dxa"/>
            <w:tcBorders>
              <w:top w:val="single" w:color="000000" w:sz="4" w:space="0"/>
              <w:left w:val="single" w:color="000000" w:sz="4" w:space="0"/>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119" w:type="dxa"/>
            <w:tcBorders>
              <w:top w:val="single" w:color="000000" w:sz="4" w:space="0"/>
              <w:left w:val="nil"/>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627" w:type="dxa"/>
            <w:tcBorders>
              <w:top w:val="single" w:color="000000" w:sz="4" w:space="0"/>
              <w:left w:val="nil"/>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4"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提高营商环境全省排名，力争进去前二十名</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基本支出人员经费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299.36万元</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393.01万元</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基本支出公用经费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28.91万元</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33.85万元</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11" w:type="dxa"/>
            <w:tcBorders>
              <w:top w:val="single" w:color="000000" w:sz="4" w:space="0"/>
              <w:left w:val="single" w:color="000000" w:sz="4" w:space="0"/>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119" w:type="dxa"/>
            <w:tcBorders>
              <w:top w:val="single" w:color="000000" w:sz="4" w:space="0"/>
              <w:left w:val="nil"/>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627" w:type="dxa"/>
            <w:tcBorders>
              <w:top w:val="single" w:color="000000" w:sz="4" w:space="0"/>
              <w:left w:val="nil"/>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120万元</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457万元</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益</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(30分)</w:t>
            </w:r>
          </w:p>
        </w:tc>
        <w:tc>
          <w:tcPr>
            <w:tcW w:w="8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经济效益</w:t>
            </w:r>
          </w:p>
        </w:tc>
        <w:tc>
          <w:tcPr>
            <w:tcW w:w="1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经济效益1</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市场主体更加繁荣</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≥20年</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≥20年</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11" w:type="dxa"/>
            <w:tcBorders>
              <w:top w:val="single" w:color="000000" w:sz="4" w:space="0"/>
              <w:left w:val="single" w:color="000000" w:sz="4" w:space="0"/>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119" w:type="dxa"/>
            <w:tcBorders>
              <w:top w:val="single" w:color="000000" w:sz="4" w:space="0"/>
              <w:left w:val="nil"/>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627" w:type="dxa"/>
            <w:tcBorders>
              <w:top w:val="single" w:color="000000" w:sz="4" w:space="0"/>
              <w:left w:val="nil"/>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投资环境更加优化</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≥20年</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≥20年</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社会效益</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增加全县财政税收</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社会效益2</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left"/>
              <w:rPr>
                <w:rFonts w:hint="eastAsia" w:ascii="宋体" w:hAnsi="宋体" w:eastAsia="宋体" w:cs="宋体"/>
                <w:i w:val="0"/>
                <w:iCs w:val="0"/>
                <w:color w:val="000000"/>
                <w:sz w:val="22"/>
                <w:szCs w:val="22"/>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生态效益</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带动产业转型</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提供就业岗位</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≥1000人</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≥1000人</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影响</w:t>
            </w:r>
          </w:p>
        </w:tc>
        <w:tc>
          <w:tcPr>
            <w:tcW w:w="1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营商环境不断优化</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≥20年</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≥20年</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促进产业链进一步完善</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≥20年</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≥20年</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11" w:type="dxa"/>
            <w:tcBorders>
              <w:top w:val="single" w:color="000000" w:sz="4" w:space="0"/>
              <w:left w:val="single" w:color="000000" w:sz="4" w:space="0"/>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119" w:type="dxa"/>
            <w:tcBorders>
              <w:top w:val="single" w:color="000000" w:sz="4" w:space="0"/>
              <w:left w:val="nil"/>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627" w:type="dxa"/>
            <w:tcBorders>
              <w:top w:val="single" w:color="000000" w:sz="4" w:space="0"/>
              <w:left w:val="nil"/>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提供便民惠民购物综合体</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≥5年</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≥5年</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4"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满意度指标（10分）</w:t>
            </w:r>
          </w:p>
        </w:tc>
        <w:tc>
          <w:tcPr>
            <w:tcW w:w="8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满意度</w:t>
            </w:r>
          </w:p>
        </w:tc>
        <w:tc>
          <w:tcPr>
            <w:tcW w:w="1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实现大提升大进位，进入全省前20</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畅通农产品销售渠道</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≥5.4吨</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≥5.4吨</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11" w:type="dxa"/>
            <w:tcBorders>
              <w:top w:val="single" w:color="000000" w:sz="4" w:space="0"/>
              <w:left w:val="single" w:color="000000" w:sz="4" w:space="0"/>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119" w:type="dxa"/>
            <w:tcBorders>
              <w:top w:val="single" w:color="000000" w:sz="4" w:space="0"/>
              <w:left w:val="nil"/>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627" w:type="dxa"/>
            <w:tcBorders>
              <w:top w:val="single" w:color="000000" w:sz="4" w:space="0"/>
              <w:left w:val="nil"/>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外商来我县投资满意率</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11" w:type="dxa"/>
            <w:tcBorders>
              <w:top w:val="single" w:color="000000" w:sz="4" w:space="0"/>
              <w:left w:val="single" w:color="000000" w:sz="4" w:space="0"/>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119" w:type="dxa"/>
            <w:tcBorders>
              <w:top w:val="single" w:color="000000" w:sz="4" w:space="0"/>
              <w:left w:val="nil"/>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627" w:type="dxa"/>
            <w:tcBorders>
              <w:top w:val="single" w:color="000000" w:sz="4" w:space="0"/>
              <w:left w:val="nil"/>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商贸流通企业满意率</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11" w:type="dxa"/>
            <w:tcBorders>
              <w:top w:val="single" w:color="000000" w:sz="4" w:space="0"/>
              <w:left w:val="single" w:color="000000" w:sz="4" w:space="0"/>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119" w:type="dxa"/>
            <w:tcBorders>
              <w:top w:val="single" w:color="000000" w:sz="4" w:space="0"/>
              <w:left w:val="nil"/>
              <w:bottom w:val="nil"/>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627" w:type="dxa"/>
            <w:tcBorders>
              <w:top w:val="single" w:color="000000" w:sz="4" w:space="0"/>
              <w:left w:val="nil"/>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tbRlV"/>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8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进入一流水平</w:t>
            </w:r>
          </w:p>
        </w:tc>
        <w:tc>
          <w:tcPr>
            <w:tcW w:w="18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2022年年底</w:t>
            </w:r>
          </w:p>
        </w:tc>
        <w:tc>
          <w:tcPr>
            <w:tcW w:w="14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2022年年底</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 </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25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1" w:hRule="atLeast"/>
        </w:trPr>
        <w:tc>
          <w:tcPr>
            <w:tcW w:w="723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Style w:val="15"/>
                <w:lang w:val="en-US" w:eastAsia="zh-CN" w:bidi="ar"/>
              </w:rPr>
              <w:t>总         分</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2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bidi w:val="0"/>
              <w:adjustRightInd/>
              <w:snapToGrid w:val="0"/>
              <w:spacing w:line="560" w:lineRule="exact"/>
              <w:ind w:left="0" w:left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511"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rPr>
                <w:rFonts w:hint="eastAsia" w:ascii="宋体" w:hAnsi="宋体" w:eastAsia="宋体" w:cs="宋体"/>
                <w:i w:val="0"/>
                <w:iCs w:val="0"/>
                <w:color w:val="000000"/>
                <w:sz w:val="22"/>
                <w:szCs w:val="22"/>
                <w:u w:val="none"/>
              </w:rPr>
            </w:pPr>
          </w:p>
        </w:tc>
        <w:tc>
          <w:tcPr>
            <w:tcW w:w="1119" w:type="dxa"/>
            <w:tcBorders>
              <w:top w:val="single" w:color="000000" w:sz="4" w:space="0"/>
              <w:left w:val="nil"/>
              <w:bottom w:val="single" w:color="000000" w:sz="4" w:space="0"/>
              <w:right w:val="nil"/>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rPr>
                <w:rFonts w:hint="eastAsia" w:ascii="宋体" w:hAnsi="宋体" w:eastAsia="宋体" w:cs="宋体"/>
                <w:i w:val="0"/>
                <w:iCs w:val="0"/>
                <w:color w:val="000000"/>
                <w:sz w:val="22"/>
                <w:szCs w:val="22"/>
                <w:u w:val="none"/>
              </w:rPr>
            </w:pPr>
          </w:p>
        </w:tc>
        <w:tc>
          <w:tcPr>
            <w:tcW w:w="62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bidi w:val="0"/>
              <w:adjustRightInd/>
              <w:snapToGrid w:val="0"/>
              <w:spacing w:line="560" w:lineRule="exact"/>
              <w:ind w:left="0" w:leftChars="0"/>
              <w:rPr>
                <w:rFonts w:hint="eastAsia" w:ascii="宋体" w:hAnsi="宋体" w:eastAsia="宋体" w:cs="宋体"/>
                <w:i w:val="0"/>
                <w:iCs w:val="0"/>
                <w:color w:val="000000"/>
                <w:sz w:val="22"/>
                <w:szCs w:val="22"/>
                <w:u w:val="none"/>
              </w:rPr>
            </w:pPr>
          </w:p>
        </w:tc>
      </w:tr>
    </w:tbl>
    <w:p>
      <w:pPr>
        <w:pStyle w:val="10"/>
        <w:keepNext w:val="0"/>
        <w:keepLines w:val="0"/>
        <w:pageBreakBefore w:val="0"/>
        <w:numPr>
          <w:ilvl w:val="0"/>
          <w:numId w:val="0"/>
        </w:numPr>
        <w:kinsoku/>
        <w:wordWrap/>
        <w:overflowPunct/>
        <w:topLinePunct w:val="0"/>
        <w:autoSpaceDE/>
        <w:bidi w:val="0"/>
        <w:adjustRightInd/>
        <w:snapToGrid w:val="0"/>
        <w:spacing w:line="560" w:lineRule="exact"/>
        <w:ind w:left="0" w:leftChars="0"/>
        <w:rPr>
          <w:rFonts w:hint="eastAsia"/>
        </w:rPr>
      </w:pPr>
    </w:p>
    <w:p>
      <w:pPr>
        <w:keepNext w:val="0"/>
        <w:keepLines w:val="0"/>
        <w:pageBreakBefore w:val="0"/>
        <w:numPr>
          <w:ilvl w:val="0"/>
          <w:numId w:val="2"/>
        </w:numPr>
        <w:kinsoku/>
        <w:wordWrap/>
        <w:overflowPunct/>
        <w:topLinePunct w:val="0"/>
        <w:autoSpaceDE/>
        <w:bidi w:val="0"/>
        <w:adjustRightInd/>
        <w:snapToGrid w:val="0"/>
        <w:spacing w:line="560" w:lineRule="exact"/>
        <w:ind w:left="0" w:leftChars="0" w:firstLine="643"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主要经验及做法、存在的问题及原因分析</w:t>
      </w:r>
    </w:p>
    <w:p>
      <w:pPr>
        <w:keepNext w:val="0"/>
        <w:keepLines w:val="0"/>
        <w:pageBreakBefore w:val="0"/>
        <w:kinsoku/>
        <w:wordWrap/>
        <w:overflowPunct/>
        <w:topLinePunct w:val="0"/>
        <w:autoSpaceDE/>
        <w:bidi w:val="0"/>
        <w:adjustRightInd/>
        <w:snapToGrid w:val="0"/>
        <w:spacing w:line="560" w:lineRule="exact"/>
        <w:ind w:left="0" w:leftChars="0" w:firstLine="640" w:firstLineChars="200"/>
        <w:rPr>
          <w:rFonts w:hint="eastAsia" w:ascii="楷体_GB2312" w:eastAsia="楷体_GB2312"/>
          <w:color w:val="000000"/>
          <w:sz w:val="32"/>
          <w:szCs w:val="32"/>
        </w:rPr>
      </w:pPr>
      <w:r>
        <w:rPr>
          <w:rFonts w:hint="eastAsia" w:ascii="楷体_GB2312" w:eastAsia="楷体_GB2312"/>
          <w:color w:val="000000"/>
          <w:sz w:val="32"/>
          <w:szCs w:val="32"/>
        </w:rPr>
        <w:t>各项经济指标完成情况</w:t>
      </w:r>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w:t>
      </w:r>
      <w:r>
        <w:rPr>
          <w:rFonts w:hint="eastAsia" w:ascii="仿宋_GB2312" w:hAnsi="仿宋" w:eastAsia="仿宋_GB2312" w:cs="仿宋"/>
          <w:sz w:val="32"/>
          <w:szCs w:val="32"/>
        </w:rPr>
        <w:t>在县委、县政府的正确领导下</w:t>
      </w:r>
      <w:r>
        <w:rPr>
          <w:rFonts w:hint="eastAsia" w:ascii="仿宋_GB2312" w:hAnsi="仿宋" w:eastAsia="仿宋_GB2312" w:cs="仿宋"/>
          <w:sz w:val="32"/>
          <w:szCs w:val="32"/>
          <w:lang w:eastAsia="zh-CN"/>
        </w:rPr>
        <w:t>，</w:t>
      </w:r>
      <w:r>
        <w:rPr>
          <w:rFonts w:hint="eastAsia" w:ascii="仿宋_GB2312" w:hAnsi="仿宋_GB2312" w:eastAsia="仿宋_GB2312" w:cs="仿宋_GB2312"/>
          <w:sz w:val="32"/>
          <w:szCs w:val="32"/>
          <w:lang w:val="en-US" w:eastAsia="zh-CN"/>
        </w:rPr>
        <w:t>全局各项重点工作任务实现突破。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（一）主要经济指标方面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社会消费品零售总额</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全年完成全口径社会消费品零售总额98.16亿元，增速3%。限上社零总额完成2.26亿元，其中限上批发业完成25.7亿元，限上零售业完成1.67亿元，限上餐饮业预计</w:t>
      </w:r>
      <w:r>
        <w:rPr>
          <w:rFonts w:hint="eastAsia" w:ascii="仿宋_GB2312" w:hAnsi="仿宋_GB2312" w:eastAsia="仿宋_GB2312" w:cs="仿宋_GB2312"/>
          <w:sz w:val="32"/>
          <w:szCs w:val="32"/>
          <w:lang w:val="en-US" w:eastAsia="zh-CN"/>
        </w:rPr>
        <w:t>完成</w:t>
      </w:r>
      <w:r>
        <w:rPr>
          <w:rFonts w:hint="default" w:ascii="仿宋_GB2312" w:hAnsi="仿宋_GB2312" w:eastAsia="仿宋_GB2312" w:cs="仿宋_GB2312"/>
          <w:sz w:val="32"/>
          <w:szCs w:val="32"/>
          <w:lang w:val="en-US" w:eastAsia="zh-CN"/>
        </w:rPr>
        <w:t>0.38亿元。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产业大招商指标</w:t>
      </w:r>
      <w:r>
        <w:rPr>
          <w:rFonts w:hint="eastAsia" w:ascii="仿宋_GB2312" w:hAnsi="仿宋_GB2312" w:eastAsia="仿宋_GB2312" w:cs="仿宋_GB2312"/>
          <w:sz w:val="32"/>
          <w:szCs w:val="32"/>
          <w:lang w:val="en-US" w:eastAsia="zh-CN"/>
        </w:rPr>
        <w:t>。全年</w:t>
      </w:r>
      <w:r>
        <w:rPr>
          <w:rFonts w:hint="default" w:ascii="仿宋_GB2312" w:hAnsi="仿宋_GB2312" w:eastAsia="仿宋_GB2312" w:cs="仿宋_GB2312"/>
          <w:sz w:val="32"/>
          <w:szCs w:val="32"/>
          <w:lang w:val="en-US" w:eastAsia="zh-CN"/>
        </w:rPr>
        <w:t>完成党政主要领导会见省外客商2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次</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完成党政主要领导赴省外招商（含视频连线）11次。完成新引进产业项目到位资金78.41亿元，完成工业项目到位资金48.68亿元</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引进优强企业22家，新引进产业项目到位资金80亿元以上。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对外贸易出口总额</w:t>
      </w:r>
      <w:r>
        <w:rPr>
          <w:rFonts w:hint="eastAsia" w:ascii="仿宋_GB2312" w:hAnsi="仿宋_GB2312" w:eastAsia="仿宋_GB2312" w:cs="仿宋_GB2312"/>
          <w:sz w:val="32"/>
          <w:szCs w:val="32"/>
          <w:lang w:val="en-US" w:eastAsia="zh-CN"/>
        </w:rPr>
        <w:t>。完成</w:t>
      </w:r>
      <w:r>
        <w:rPr>
          <w:rFonts w:hint="default" w:ascii="仿宋_GB2312" w:hAnsi="仿宋_GB2312" w:eastAsia="仿宋_GB2312" w:cs="仿宋_GB2312"/>
          <w:sz w:val="32"/>
          <w:szCs w:val="32"/>
          <w:lang w:val="en-US" w:eastAsia="zh-CN"/>
        </w:rPr>
        <w:t>对外贸易进出口总额12409万元，同比增长118.2%，新增外贸备案企业3家。全年完成货物贸易进出口总额15000万元，同比增长163%。</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60" w:lineRule="exact"/>
        <w:ind w:left="0" w:leftChars="0" w:firstLine="640" w:firstLineChars="200"/>
        <w:jc w:val="both"/>
        <w:textAlignment w:val="baseline"/>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sz w:val="32"/>
          <w:szCs w:val="32"/>
          <w:lang w:val="en-US" w:eastAsia="zh-CN"/>
        </w:rPr>
        <w:t>4.实际</w:t>
      </w:r>
      <w:r>
        <w:rPr>
          <w:rFonts w:hint="eastAsia" w:ascii="仿宋_GB2312" w:hAnsi="仿宋_GB2312" w:eastAsia="仿宋_GB2312" w:cs="仿宋_GB2312"/>
          <w:b w:val="0"/>
          <w:bCs w:val="0"/>
          <w:i w:val="0"/>
          <w:caps w:val="0"/>
          <w:color w:val="auto"/>
          <w:spacing w:val="0"/>
          <w:w w:val="100"/>
          <w:sz w:val="32"/>
          <w:szCs w:val="32"/>
          <w:highlight w:val="none"/>
          <w:lang w:val="en-US" w:eastAsia="zh-CN"/>
        </w:rPr>
        <w:t>利用外资。2022年，实际利用外资预计完成</w:t>
      </w:r>
      <w:r>
        <w:rPr>
          <w:rFonts w:hint="eastAsia" w:ascii="仿宋_GB2312" w:hAnsi="仿宋_GB2312" w:eastAsia="仿宋_GB2312" w:cs="仿宋_GB2312"/>
          <w:b w:val="0"/>
          <w:bCs w:val="0"/>
          <w:color w:val="auto"/>
          <w:sz w:val="32"/>
          <w:szCs w:val="32"/>
          <w:highlight w:val="none"/>
        </w:rPr>
        <w:t>200万美元</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60" w:lineRule="exact"/>
        <w:ind w:left="0" w:leftChars="0" w:firstLine="640" w:firstLineChars="200"/>
        <w:jc w:val="both"/>
        <w:textAlignment w:val="baseline"/>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（二）商贸工作方面</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60" w:lineRule="exact"/>
        <w:ind w:left="0" w:leftChars="0" w:firstLine="643" w:firstLineChars="200"/>
        <w:jc w:val="both"/>
        <w:textAlignment w:val="baseline"/>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bCs/>
          <w:sz w:val="32"/>
          <w:szCs w:val="32"/>
          <w:lang w:val="en-US" w:eastAsia="zh-CN"/>
        </w:rPr>
        <w:t>一是培育市场主体，为企业纾困解难。</w:t>
      </w:r>
      <w:r>
        <w:rPr>
          <w:rFonts w:hint="eastAsia" w:ascii="仿宋_GB2312" w:hAnsi="仿宋_GB2312" w:eastAsia="仿宋_GB2312" w:cs="仿宋_GB2312"/>
          <w:sz w:val="32"/>
          <w:szCs w:val="32"/>
          <w:lang w:val="en-US" w:eastAsia="zh-CN"/>
        </w:rPr>
        <w:t>编制完成《开阳县关于支持零售餐饮住宿业发展的培育工作方案》《开阳县关于支持批发业发展的培育工作方案》，为企业培育做好制度保障。</w:t>
      </w:r>
      <w:r>
        <w:rPr>
          <w:rFonts w:hint="eastAsia" w:ascii="仿宋_GB2312" w:hAnsi="仿宋_GB2312" w:eastAsia="仿宋_GB2312" w:cs="仿宋_GB2312"/>
          <w:b/>
          <w:bCs/>
          <w:sz w:val="32"/>
          <w:szCs w:val="32"/>
          <w:lang w:val="en-US" w:eastAsia="zh-CN"/>
        </w:rPr>
        <w:t>二是做好产销对接，为农产品打开销路。</w:t>
      </w:r>
      <w:r>
        <w:rPr>
          <w:rFonts w:hint="eastAsia" w:ascii="仿宋_GB2312" w:hAnsi="仿宋_GB2312" w:eastAsia="仿宋_GB2312" w:cs="仿宋_GB2312"/>
          <w:sz w:val="32"/>
          <w:szCs w:val="32"/>
          <w:lang w:val="en-US" w:eastAsia="zh-CN"/>
        </w:rPr>
        <w:t>按照运营管理要求，做好我县惠民生鲜超市价格监督、产销对接等方面工作的监督管理，确保真正惠及于民。</w:t>
      </w:r>
      <w:r>
        <w:rPr>
          <w:rFonts w:hint="eastAsia" w:ascii="仿宋_GB2312" w:hAnsi="仿宋_GB2312" w:eastAsia="仿宋_GB2312" w:cs="仿宋_GB2312"/>
          <w:sz w:val="32"/>
          <w:szCs w:val="32"/>
          <w:highlight w:val="none"/>
          <w:lang w:val="en-US" w:eastAsia="zh-CN"/>
        </w:rPr>
        <w:t>全年完成农产品销售量10.09万吨，完成农产品销售额21.16亿元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bCs/>
          <w:sz w:val="32"/>
          <w:szCs w:val="32"/>
          <w:lang w:val="en-US" w:eastAsia="zh-CN"/>
        </w:rPr>
        <w:t>三是重构商业体系，为民生实事添砖加瓦。</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b w:val="0"/>
          <w:bCs/>
          <w:color w:val="auto"/>
          <w:sz w:val="32"/>
          <w:szCs w:val="32"/>
          <w:highlight w:val="none"/>
          <w:lang w:val="en-US" w:eastAsia="zh-CN"/>
        </w:rPr>
        <w:t>完成对三台山农贸市场的改造，并正式投入使用。</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60" w:lineRule="exact"/>
        <w:ind w:left="0" w:leftChars="0" w:firstLine="640" w:firstLineChars="200"/>
        <w:jc w:val="both"/>
        <w:textAlignment w:val="baseline"/>
        <w:rPr>
          <w:rFonts w:hint="eastAsia" w:ascii="楷体_GB2312" w:hAnsi="楷体_GB2312" w:eastAsia="楷体_GB2312" w:cs="楷体_GB2312"/>
          <w:b w:val="0"/>
          <w:bCs/>
          <w:color w:val="auto"/>
          <w:sz w:val="32"/>
          <w:szCs w:val="32"/>
          <w:highlight w:val="none"/>
          <w:lang w:val="en-US" w:eastAsia="zh-CN"/>
        </w:rPr>
      </w:pPr>
      <w:r>
        <w:rPr>
          <w:rFonts w:hint="eastAsia" w:ascii="楷体_GB2312" w:hAnsi="楷体_GB2312" w:eastAsia="楷体_GB2312" w:cs="楷体_GB2312"/>
          <w:b w:val="0"/>
          <w:bCs/>
          <w:color w:val="auto"/>
          <w:sz w:val="32"/>
          <w:szCs w:val="32"/>
          <w:highlight w:val="none"/>
          <w:lang w:val="en-US" w:eastAsia="zh-CN"/>
        </w:rPr>
        <w:t>（三）招商引资方面</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bidi w:val="0"/>
        <w:adjustRightInd/>
        <w:snapToGrid/>
        <w:spacing w:beforeAutospacing="0" w:afterAutospacing="0" w:line="540" w:lineRule="exact"/>
        <w:ind w:left="0" w:leftChars="0" w:firstLine="643" w:firstLineChars="200"/>
        <w:jc w:val="both"/>
        <w:textAlignment w:val="baseline"/>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lang w:val="en-US" w:eastAsia="zh-CN"/>
        </w:rPr>
        <w:t>一是招商格局再优化。</w:t>
      </w:r>
      <w:r>
        <w:rPr>
          <w:rFonts w:hint="eastAsia" w:ascii="仿宋_GB2312" w:hAnsi="仿宋_GB2312" w:eastAsia="仿宋_GB2312" w:cs="仿宋_GB2312"/>
          <w:color w:val="auto"/>
          <w:sz w:val="32"/>
          <w:szCs w:val="32"/>
          <w:highlight w:val="none"/>
          <w:lang w:val="en-US" w:eastAsia="zh-CN"/>
        </w:rPr>
        <w:t>制定</w:t>
      </w:r>
      <w:r>
        <w:rPr>
          <w:rFonts w:hint="eastAsia" w:ascii="仿宋_GB2312" w:hAnsi="仿宋_GB2312" w:eastAsia="仿宋_GB2312" w:cs="仿宋_GB2312"/>
          <w:color w:val="auto"/>
          <w:sz w:val="32"/>
          <w:szCs w:val="32"/>
          <w:highlight w:val="none"/>
        </w:rPr>
        <w:t>《开阳县“强省会”五年行动强化产业大招商的工作方案》</w:t>
      </w:r>
      <w:r>
        <w:rPr>
          <w:rFonts w:hint="eastAsia" w:ascii="仿宋_GB2312" w:hAnsi="仿宋_GB2312" w:eastAsia="仿宋_GB2312" w:cs="仿宋_GB2312"/>
          <w:color w:val="auto"/>
          <w:sz w:val="32"/>
          <w:szCs w:val="32"/>
          <w:highlight w:val="none"/>
          <w:lang w:val="en-US" w:eastAsia="zh-CN"/>
        </w:rPr>
        <w:t>，细化招商职责，凸显商促局在招商引资当中的目标制定、统筹调度、督促检查、考核评估的作用。</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left="0" w:leftChars="0" w:right="0" w:rightChars="0" w:firstLine="643" w:firstLineChars="200"/>
        <w:jc w:val="left"/>
        <w:textAlignment w:val="baseline"/>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lang w:val="en-US" w:eastAsia="zh-CN"/>
        </w:rPr>
        <w:t>二是招商基础再夯实。</w:t>
      </w:r>
      <w:r>
        <w:rPr>
          <w:rFonts w:hint="eastAsia" w:ascii="仿宋_GB2312" w:hAnsi="仿宋_GB2312" w:eastAsia="仿宋_GB2312" w:cs="仿宋_GB2312"/>
          <w:b w:val="0"/>
          <w:bCs w:val="0"/>
          <w:color w:val="auto"/>
          <w:sz w:val="32"/>
          <w:szCs w:val="32"/>
          <w:highlight w:val="none"/>
          <w:lang w:val="en-US" w:eastAsia="zh-CN"/>
        </w:rPr>
        <w:t>夯实</w:t>
      </w:r>
      <w:r>
        <w:rPr>
          <w:rFonts w:hint="eastAsia" w:ascii="仿宋_GB2312" w:hAnsi="仿宋_GB2312" w:eastAsia="仿宋_GB2312" w:cs="仿宋_GB2312"/>
          <w:b w:val="0"/>
          <w:bCs w:val="0"/>
          <w:color w:val="auto"/>
          <w:sz w:val="32"/>
          <w:szCs w:val="32"/>
          <w:highlight w:val="none"/>
        </w:rPr>
        <w:t>“两图两库两池”。</w:t>
      </w:r>
      <w:r>
        <w:rPr>
          <w:rFonts w:hint="eastAsia" w:ascii="仿宋_GB2312" w:hAnsi="仿宋_GB2312" w:eastAsia="仿宋_GB2312" w:cs="仿宋_GB2312"/>
          <w:bCs/>
          <w:color w:val="auto"/>
          <w:sz w:val="32"/>
          <w:szCs w:val="32"/>
          <w:highlight w:val="none"/>
        </w:rPr>
        <w:t>高质量</w:t>
      </w:r>
      <w:r>
        <w:rPr>
          <w:rFonts w:hint="eastAsia" w:ascii="仿宋_GB2312" w:hAnsi="仿宋_GB2312" w:eastAsia="仿宋_GB2312" w:cs="仿宋_GB2312"/>
          <w:bCs/>
          <w:color w:val="auto"/>
          <w:sz w:val="32"/>
          <w:szCs w:val="32"/>
          <w:highlight w:val="none"/>
          <w:lang w:val="en-US" w:eastAsia="zh-CN"/>
        </w:rPr>
        <w:t>编制</w:t>
      </w:r>
      <w:r>
        <w:rPr>
          <w:rFonts w:hint="eastAsia" w:ascii="仿宋_GB2312" w:hAnsi="仿宋_GB2312" w:eastAsia="仿宋_GB2312" w:cs="仿宋_GB2312"/>
          <w:bCs/>
          <w:color w:val="auto"/>
          <w:sz w:val="32"/>
          <w:szCs w:val="32"/>
          <w:highlight w:val="none"/>
        </w:rPr>
        <w:t>重点产业链</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磷系新材料、新能源储能材料</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全景图、发展现状图、招商项目库、目标企业库、资金池、人才池</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储备招商项目53个，涵盖国内外头部企业49家，滚动储备接替靶向对接企业99家，</w:t>
      </w:r>
      <w:r>
        <w:rPr>
          <w:rFonts w:hint="eastAsia" w:ascii="仿宋_GB2312" w:hAnsi="仿宋_GB2312" w:eastAsia="仿宋_GB2312" w:cs="仿宋_GB2312"/>
          <w:bCs/>
          <w:color w:val="auto"/>
          <w:sz w:val="32"/>
          <w:szCs w:val="32"/>
          <w:highlight w:val="none"/>
          <w:lang w:eastAsia="zh-CN"/>
        </w:rPr>
        <w:t>围绕现代化工产业领军企业高管、技术专家等重点汇聚</w:t>
      </w:r>
      <w:r>
        <w:rPr>
          <w:rFonts w:hint="eastAsia" w:ascii="仿宋_GB2312" w:hAnsi="仿宋_GB2312" w:eastAsia="仿宋_GB2312" w:cs="仿宋_GB2312"/>
          <w:bCs/>
          <w:color w:val="auto"/>
          <w:sz w:val="32"/>
          <w:szCs w:val="32"/>
          <w:highlight w:val="none"/>
          <w:lang w:val="en-US" w:eastAsia="zh-CN"/>
        </w:rPr>
        <w:t>147</w:t>
      </w:r>
      <w:r>
        <w:rPr>
          <w:rFonts w:hint="eastAsia" w:ascii="仿宋_GB2312" w:hAnsi="仿宋_GB2312" w:eastAsia="仿宋_GB2312" w:cs="仿宋_GB2312"/>
          <w:bCs/>
          <w:color w:val="auto"/>
          <w:sz w:val="32"/>
          <w:szCs w:val="32"/>
          <w:highlight w:val="none"/>
          <w:lang w:eastAsia="zh-CN"/>
        </w:rPr>
        <w:t>名专家人才，</w:t>
      </w:r>
      <w:r>
        <w:rPr>
          <w:rFonts w:hint="eastAsia" w:ascii="仿宋_GB2312" w:hAnsi="仿宋_GB2312" w:eastAsia="仿宋_GB2312" w:cs="仿宋_GB2312"/>
          <w:bCs/>
          <w:color w:val="auto"/>
          <w:sz w:val="32"/>
          <w:szCs w:val="32"/>
          <w:highlight w:val="none"/>
        </w:rPr>
        <w:t>由县级财政每年分别安排2000万元用于</w:t>
      </w:r>
      <w:r>
        <w:rPr>
          <w:rFonts w:hint="eastAsia" w:ascii="仿宋_GB2312" w:hAnsi="仿宋_GB2312" w:eastAsia="仿宋_GB2312" w:cs="仿宋_GB2312"/>
          <w:bCs/>
          <w:color w:val="auto"/>
          <w:sz w:val="32"/>
          <w:szCs w:val="32"/>
          <w:highlight w:val="none"/>
          <w:lang w:eastAsia="zh-CN"/>
        </w:rPr>
        <w:t>工业</w:t>
      </w:r>
      <w:r>
        <w:rPr>
          <w:rFonts w:hint="eastAsia" w:ascii="仿宋_GB2312" w:hAnsi="仿宋_GB2312" w:eastAsia="仿宋_GB2312" w:cs="仿宋_GB2312"/>
          <w:bCs/>
          <w:color w:val="auto"/>
          <w:sz w:val="32"/>
          <w:szCs w:val="32"/>
          <w:highlight w:val="none"/>
        </w:rPr>
        <w:t>产业发展“专项资金”</w:t>
      </w:r>
      <w:r>
        <w:rPr>
          <w:rFonts w:hint="eastAsia" w:ascii="仿宋_GB2312" w:hAnsi="仿宋_GB2312" w:eastAsia="仿宋_GB2312" w:cs="仿宋_GB2312"/>
          <w:bCs/>
          <w:color w:val="auto"/>
          <w:sz w:val="32"/>
          <w:szCs w:val="32"/>
          <w:highlight w:val="none"/>
          <w:lang w:eastAsia="zh-CN"/>
        </w:rPr>
        <w:t>。</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firstLine="643" w:firstLineChars="200"/>
        <w:jc w:val="both"/>
        <w:textAlignment w:val="baseline"/>
        <w:rPr>
          <w:rFonts w:hint="eastAsia" w:ascii="仿宋_GB2312" w:hAnsi="仿宋_GB2312" w:eastAsia="仿宋_GB2312" w:cs="仿宋_GB2312"/>
          <w:b w:val="0"/>
          <w:bCs w:val="0"/>
          <w:i w:val="0"/>
          <w:caps w:val="0"/>
          <w:color w:val="auto"/>
          <w:spacing w:val="0"/>
          <w:w w:val="100"/>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三是</w:t>
      </w:r>
      <w:r>
        <w:rPr>
          <w:rFonts w:hint="eastAsia" w:ascii="仿宋_GB2312" w:hAnsi="仿宋_GB2312" w:eastAsia="仿宋_GB2312" w:cs="仿宋_GB2312"/>
          <w:b/>
          <w:bCs/>
          <w:i w:val="0"/>
          <w:caps w:val="0"/>
          <w:color w:val="auto"/>
          <w:spacing w:val="0"/>
          <w:w w:val="100"/>
          <w:sz w:val="32"/>
          <w:szCs w:val="32"/>
          <w:highlight w:val="none"/>
          <w:lang w:val="en-US" w:eastAsia="zh-CN"/>
        </w:rPr>
        <w:t>招商目标再精准。</w:t>
      </w:r>
      <w:r>
        <w:rPr>
          <w:rFonts w:hint="eastAsia" w:ascii="仿宋_GB2312" w:hAnsi="仿宋_GB2312" w:eastAsia="仿宋_GB2312" w:cs="仿宋_GB2312"/>
          <w:b w:val="0"/>
          <w:bCs w:val="0"/>
          <w:i w:val="0"/>
          <w:caps w:val="0"/>
          <w:color w:val="auto"/>
          <w:spacing w:val="0"/>
          <w:w w:val="100"/>
          <w:sz w:val="32"/>
          <w:szCs w:val="32"/>
          <w:highlight w:val="none"/>
          <w:lang w:val="en-US" w:eastAsia="zh-CN"/>
        </w:rPr>
        <w:t>科学制定目标。</w:t>
      </w:r>
      <w:r>
        <w:rPr>
          <w:rFonts w:hint="eastAsia" w:ascii="仿宋_GB2312" w:hAnsi="仿宋_GB2312" w:eastAsia="仿宋_GB2312" w:cs="仿宋_GB2312"/>
          <w:color w:val="auto"/>
          <w:sz w:val="32"/>
          <w:szCs w:val="32"/>
          <w:highlight w:val="none"/>
          <w:lang w:val="en-US" w:eastAsia="zh-CN"/>
        </w:rPr>
        <w:t>按照《</w:t>
      </w:r>
      <w:r>
        <w:rPr>
          <w:rFonts w:hint="eastAsia" w:ascii="仿宋_GB2312" w:hAnsi="仿宋_GB2312" w:eastAsia="仿宋_GB2312" w:cs="仿宋_GB2312"/>
          <w:b w:val="0"/>
          <w:bCs w:val="0"/>
          <w:color w:val="auto"/>
          <w:kern w:val="2"/>
          <w:sz w:val="32"/>
          <w:szCs w:val="32"/>
          <w:highlight w:val="none"/>
          <w:lang w:val="en-US" w:eastAsia="zh-CN" w:bidi="ar-SA"/>
        </w:rPr>
        <w:t>2022年贵阳贵安产业大招商任务分解表》，</w:t>
      </w:r>
      <w:r>
        <w:rPr>
          <w:rFonts w:hint="eastAsia" w:ascii="仿宋_GB2312" w:hAnsi="仿宋_GB2312" w:eastAsia="仿宋_GB2312" w:cs="仿宋_GB2312"/>
          <w:color w:val="auto"/>
          <w:sz w:val="32"/>
          <w:szCs w:val="32"/>
          <w:highlight w:val="none"/>
          <w:lang w:val="en-US" w:eastAsia="zh-CN"/>
        </w:rPr>
        <w:t>对经开区、国有企业、县直部门、各乡（镇、街道）“四个板块”进行责任目标、总量目标、结构目标、效益目标的分解，有效防止“大水漫灌”的现象发生。</w:t>
      </w:r>
      <w:r>
        <w:rPr>
          <w:rFonts w:hint="eastAsia" w:ascii="仿宋_GB2312" w:hAnsi="仿宋_GB2312" w:eastAsia="仿宋_GB2312" w:cs="仿宋_GB2312"/>
          <w:b w:val="0"/>
          <w:bCs w:val="0"/>
          <w:i w:val="0"/>
          <w:caps w:val="0"/>
          <w:color w:val="auto"/>
          <w:spacing w:val="0"/>
          <w:w w:val="100"/>
          <w:sz w:val="32"/>
          <w:szCs w:val="32"/>
          <w:highlight w:val="none"/>
          <w:lang w:val="en-US" w:eastAsia="zh-CN"/>
        </w:rPr>
        <w:t>强化培训调度。</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firstLine="643" w:firstLineChars="200"/>
        <w:jc w:val="both"/>
        <w:textAlignment w:val="baseline"/>
        <w:rPr>
          <w:rFonts w:hint="eastAsia" w:ascii="仿宋_GB2312" w:hAnsi="仿宋_GB2312" w:eastAsia="仿宋_GB2312" w:cs="仿宋_GB2312"/>
          <w:b w:val="0"/>
          <w:bCs w:val="0"/>
          <w:color w:val="auto"/>
          <w:sz w:val="32"/>
          <w:szCs w:val="40"/>
          <w:highlight w:val="none"/>
          <w:lang w:val="en-US" w:eastAsia="zh-CN"/>
        </w:rPr>
      </w:pPr>
      <w:r>
        <w:rPr>
          <w:rFonts w:hint="eastAsia" w:ascii="仿宋_GB2312" w:hAnsi="仿宋_GB2312" w:eastAsia="仿宋_GB2312" w:cs="仿宋_GB2312"/>
          <w:b/>
          <w:bCs/>
          <w:color w:val="auto"/>
          <w:sz w:val="32"/>
          <w:szCs w:val="32"/>
          <w:highlight w:val="none"/>
          <w:lang w:val="en-US" w:eastAsia="zh-CN"/>
        </w:rPr>
        <w:t>四是项目</w:t>
      </w:r>
      <w:r>
        <w:rPr>
          <w:rFonts w:hint="eastAsia" w:ascii="仿宋_GB2312" w:hAnsi="仿宋_GB2312" w:eastAsia="仿宋_GB2312" w:cs="仿宋_GB2312"/>
          <w:b/>
          <w:bCs w:val="0"/>
          <w:color w:val="auto"/>
          <w:sz w:val="32"/>
          <w:szCs w:val="32"/>
          <w:highlight w:val="none"/>
          <w:lang w:val="en-US" w:eastAsia="zh-CN"/>
        </w:rPr>
        <w:t>服务再使劲。</w:t>
      </w:r>
      <w:r>
        <w:rPr>
          <w:rFonts w:hint="eastAsia" w:ascii="仿宋_GB2312" w:hAnsi="仿宋_GB2312" w:eastAsia="仿宋_GB2312" w:cs="仿宋_GB2312"/>
          <w:color w:val="auto"/>
          <w:kern w:val="2"/>
          <w:sz w:val="32"/>
          <w:szCs w:val="32"/>
          <w:highlight w:val="none"/>
          <w:lang w:val="en-US" w:eastAsia="zh-CN" w:bidi="ar-SA"/>
        </w:rPr>
        <w:t>实行重大项目常委包保制和“一项目一专班”跟踪服务制，由专人跟踪服务项目从签约到投产的全</w:t>
      </w:r>
      <w:r>
        <w:rPr>
          <w:rFonts w:hint="eastAsia" w:ascii="仿宋_GB2312" w:hAnsi="仿宋_GB2312" w:eastAsia="仿宋_GB2312" w:cs="仿宋_GB2312"/>
          <w:b w:val="0"/>
          <w:bCs w:val="0"/>
          <w:color w:val="auto"/>
          <w:sz w:val="32"/>
          <w:szCs w:val="40"/>
          <w:highlight w:val="none"/>
          <w:lang w:val="en-US" w:eastAsia="zh-CN"/>
        </w:rPr>
        <w:t>生命周期，坚持园区派单、台账管理、限时销号的模式，切实帮助企业解决建设过程中的问题困难和瓶颈制约，确保项目有序推进。制定《开阳县工业倍增行动2022年行动计划》，紧盯签约、开工、建设、竣工、投产五个环节，探索推行全项目链管理模式，形成“投产一批、开工一批、储备一批、谋划一批”的良性循环，重点加快推进宁德时代年产2万吨双氟磺酰亚胺锂、磷化集团年产1万吨六氟磷酸铁锂、安达年产10万吨磷酸铁锂、中伟新材料年产2万吨磷酸铁锂和10万吨磷酸铁、湖南邦盛年产10万吨磷酸铁锂、胜威“钛磷硫铁钙”资源循环利用、江苏一夫年产60万吨超细硫酸钙粉等项目的建设。</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firstLine="640" w:firstLineChars="200"/>
        <w:jc w:val="both"/>
        <w:textAlignment w:val="baseline"/>
        <w:rPr>
          <w:rFonts w:hint="eastAsia" w:ascii="楷体_GB2312" w:hAnsi="楷体_GB2312" w:eastAsia="楷体_GB2312" w:cs="楷体_GB2312"/>
          <w:b w:val="0"/>
          <w:bCs w:val="0"/>
          <w:color w:val="auto"/>
          <w:sz w:val="32"/>
          <w:szCs w:val="40"/>
          <w:highlight w:val="none"/>
          <w:lang w:val="en-US" w:eastAsia="zh-CN"/>
        </w:rPr>
      </w:pPr>
      <w:r>
        <w:rPr>
          <w:rFonts w:hint="eastAsia" w:ascii="楷体_GB2312" w:hAnsi="楷体_GB2312" w:eastAsia="楷体_GB2312" w:cs="楷体_GB2312"/>
          <w:b w:val="0"/>
          <w:bCs w:val="0"/>
          <w:color w:val="auto"/>
          <w:sz w:val="32"/>
          <w:szCs w:val="40"/>
          <w:highlight w:val="none"/>
          <w:lang w:val="en-US" w:eastAsia="zh-CN"/>
        </w:rPr>
        <w:t>（四）营商环境方面</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firstLine="643" w:firstLineChars="200"/>
        <w:jc w:val="both"/>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一是强化顶层设计，统筹制定创新举措。</w:t>
      </w:r>
      <w:r>
        <w:rPr>
          <w:rFonts w:hint="eastAsia" w:ascii="仿宋_GB2312" w:hAnsi="仿宋_GB2312" w:eastAsia="仿宋_GB2312" w:cs="仿宋_GB2312"/>
          <w:color w:val="auto"/>
          <w:sz w:val="32"/>
          <w:szCs w:val="32"/>
          <w:highlight w:val="none"/>
          <w:lang w:val="en-US" w:eastAsia="zh-CN"/>
        </w:rPr>
        <w:t>高度重视营商环境工作，推动建立了“县委、县政府主要负责人统筹抓、分管副县长亲自抓、各指标单位具体抓”的营商环境工作总机制。2022年，县委、县政府主要领导通过常委会、常务会、专题会、作批示等方式调度营商环境10余次、分管县领导调度20余次。推动制定了《开阳县打造“贵人服务”品牌建设省内一流营商环境三年行动计划》、《开阳县2022年营商环境工作方案》、《2022年开阳县打造“贵人服务”品牌建设一流营商环境重点任务清单》以及《开阳县进一步做好2022年优化营商环境迎评攻坚行动计划方案》四个文件，重点围绕政务、法治、商务和社会环境，进一步明确工作任务、压紧压实工作责任。</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firstLine="643" w:firstLineChars="200"/>
        <w:jc w:val="both"/>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二是紧盯短板弱项，锚定目标紧抓调度。</w:t>
      </w:r>
      <w:r>
        <w:rPr>
          <w:rFonts w:hint="eastAsia" w:ascii="仿宋_GB2312" w:hAnsi="仿宋_GB2312" w:eastAsia="仿宋_GB2312" w:cs="仿宋_GB2312"/>
          <w:color w:val="auto"/>
          <w:sz w:val="32"/>
          <w:szCs w:val="32"/>
          <w:highlight w:val="none"/>
          <w:lang w:val="en-US" w:eastAsia="zh-CN"/>
        </w:rPr>
        <w:t>聚焦营商环境条例和重点任务清单贯彻落实、企业大走访、转办件、政府端便利度，以及2021年开阳县营商环境评估扣分项和2022年7月第三方指出问题等重点任务，通过专题调度、向上对接、实地走访等举措，对标对表省市要求，逐项梳理、逐项研究、逐项解决，确保取得成效。截至目前，短板指标整改效果明显。</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firstLine="643" w:firstLineChars="200"/>
        <w:jc w:val="both"/>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三是强推企业走访，持续提升满意效果。</w:t>
      </w:r>
      <w:r>
        <w:rPr>
          <w:rFonts w:hint="eastAsia" w:ascii="仿宋_GB2312" w:hAnsi="仿宋_GB2312" w:eastAsia="仿宋_GB2312" w:cs="仿宋_GB2312"/>
          <w:color w:val="auto"/>
          <w:sz w:val="32"/>
          <w:szCs w:val="32"/>
          <w:highlight w:val="none"/>
          <w:lang w:val="en-US" w:eastAsia="zh-CN"/>
        </w:rPr>
        <w:t>通过实地走访，全面了解企业诉求，并通过有效的措施，切实为企业解决在生产发展过程中遇到的痛点、难点、堵点问题，助力企业持续做大做优做强。</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leftChars="200"/>
        <w:jc w:val="both"/>
        <w:textAlignment w:val="baseline"/>
        <w:rPr>
          <w:rFonts w:hint="eastAsia"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（五）安全生产方面</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firstLine="640" w:firstLineChars="200"/>
        <w:jc w:val="both"/>
        <w:textAlignment w:val="baseline"/>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2022年以来，共派出安全生产行业监管执法检查组</w:t>
      </w:r>
      <w:r>
        <w:rPr>
          <w:rFonts w:hint="eastAsia" w:ascii="仿宋_GB2312" w:hAnsi="仿宋_GB2312" w:eastAsia="仿宋_GB2312" w:cs="仿宋_GB2312"/>
          <w:b/>
          <w:bCs/>
          <w:color w:val="auto"/>
          <w:sz w:val="32"/>
          <w:szCs w:val="32"/>
          <w:highlight w:val="none"/>
          <w:lang w:val="en-US" w:eastAsia="zh-CN"/>
        </w:rPr>
        <w:t>180</w:t>
      </w:r>
      <w:r>
        <w:rPr>
          <w:rFonts w:hint="eastAsia" w:ascii="仿宋_GB2312" w:hAnsi="仿宋_GB2312" w:eastAsia="仿宋_GB2312" w:cs="仿宋_GB2312"/>
          <w:b w:val="0"/>
          <w:bCs w:val="0"/>
          <w:color w:val="auto"/>
          <w:sz w:val="32"/>
          <w:szCs w:val="32"/>
          <w:highlight w:val="none"/>
          <w:lang w:val="en-US" w:eastAsia="zh-CN"/>
        </w:rPr>
        <w:t>组</w:t>
      </w:r>
      <w:r>
        <w:rPr>
          <w:rFonts w:hint="eastAsia" w:ascii="仿宋_GB2312" w:hAnsi="仿宋_GB2312" w:eastAsia="仿宋_GB2312" w:cs="仿宋_GB2312"/>
          <w:b/>
          <w:bCs/>
          <w:color w:val="auto"/>
          <w:sz w:val="32"/>
          <w:szCs w:val="32"/>
          <w:highlight w:val="none"/>
          <w:lang w:val="en-US" w:eastAsia="zh-CN"/>
        </w:rPr>
        <w:t>460</w:t>
      </w:r>
      <w:r>
        <w:rPr>
          <w:rFonts w:hint="eastAsia" w:ascii="仿宋_GB2312" w:hAnsi="仿宋_GB2312" w:eastAsia="仿宋_GB2312" w:cs="仿宋_GB2312"/>
          <w:b w:val="0"/>
          <w:bCs w:val="0"/>
          <w:color w:val="auto"/>
          <w:sz w:val="32"/>
          <w:szCs w:val="32"/>
          <w:highlight w:val="none"/>
          <w:lang w:val="en-US" w:eastAsia="zh-CN"/>
        </w:rPr>
        <w:t>人次，检查企业</w:t>
      </w:r>
      <w:r>
        <w:rPr>
          <w:rFonts w:hint="eastAsia" w:ascii="仿宋_GB2312" w:hAnsi="仿宋_GB2312" w:eastAsia="仿宋_GB2312" w:cs="仿宋_GB2312"/>
          <w:b/>
          <w:bCs/>
          <w:color w:val="auto"/>
          <w:sz w:val="32"/>
          <w:szCs w:val="32"/>
          <w:highlight w:val="none"/>
          <w:lang w:val="en-US" w:eastAsia="zh-CN"/>
        </w:rPr>
        <w:t>334</w:t>
      </w:r>
      <w:r>
        <w:rPr>
          <w:rFonts w:hint="eastAsia" w:ascii="仿宋_GB2312" w:hAnsi="仿宋_GB2312" w:eastAsia="仿宋_GB2312" w:cs="仿宋_GB2312"/>
          <w:b w:val="0"/>
          <w:bCs w:val="0"/>
          <w:color w:val="auto"/>
          <w:sz w:val="32"/>
          <w:szCs w:val="32"/>
          <w:highlight w:val="none"/>
          <w:lang w:val="en-US" w:eastAsia="zh-CN"/>
        </w:rPr>
        <w:t>家次，发现隐患601条，已整改593条，整改率98.67%，当场处罚1起，罚款0.29万元，立案处罚7家，罚款10.35万元，共计罚款10.64万元。</w:t>
      </w:r>
    </w:p>
    <w:p>
      <w:pPr>
        <w:keepNext w:val="0"/>
        <w:keepLines w:val="0"/>
        <w:pageBreakBefore w:val="0"/>
        <w:numPr>
          <w:ilvl w:val="0"/>
          <w:numId w:val="0"/>
        </w:numPr>
        <w:kinsoku/>
        <w:wordWrap/>
        <w:overflowPunct/>
        <w:topLinePunct w:val="0"/>
        <w:autoSpaceDE/>
        <w:bidi w:val="0"/>
        <w:adjustRightInd/>
        <w:snapToGrid w:val="0"/>
        <w:spacing w:line="560" w:lineRule="exact"/>
        <w:ind w:left="3" w:leftChars="0" w:firstLine="640" w:firstLineChars="200"/>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制定《开阳县关于规范可回收资源行业秩序整改工作方案》，建立再生资源回收以及报废机动车回收拆解衔接机制。强化对在建工地、矿山、农业基础设施改造等领域涉及成品油非法经营及黑窝点线索的排查整治，形成“打非治违”高压态势，联合县公安、应急管理等部门开展联合执法</w:t>
      </w:r>
    </w:p>
    <w:p>
      <w:pPr>
        <w:keepNext w:val="0"/>
        <w:keepLines w:val="0"/>
        <w:pageBreakBefore w:val="0"/>
        <w:numPr>
          <w:ilvl w:val="0"/>
          <w:numId w:val="0"/>
        </w:numPr>
        <w:kinsoku/>
        <w:wordWrap/>
        <w:overflowPunct/>
        <w:topLinePunct w:val="0"/>
        <w:autoSpaceDE/>
        <w:bidi w:val="0"/>
        <w:adjustRightInd/>
        <w:snapToGrid w:val="0"/>
        <w:spacing w:line="560" w:lineRule="exact"/>
        <w:ind w:left="643" w:left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五、</w:t>
      </w:r>
      <w:r>
        <w:rPr>
          <w:rFonts w:hint="eastAsia" w:ascii="仿宋_GB2312" w:hAnsi="仿宋_GB2312" w:eastAsia="仿宋_GB2312" w:cs="仿宋_GB2312"/>
          <w:b/>
          <w:bCs/>
          <w:sz w:val="32"/>
          <w:szCs w:val="32"/>
        </w:rPr>
        <w:t>针对问题提出的建议</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firstLine="960" w:firstLineChars="300"/>
        <w:jc w:val="left"/>
        <w:textAlignment w:val="baseline"/>
        <w:rPr>
          <w:rFonts w:hint="eastAsia" w:ascii="楷体_GB2312" w:hAnsi="楷体_GB2312" w:eastAsia="楷体_GB2312" w:cs="仿宋_GB2312"/>
          <w:kern w:val="2"/>
          <w:sz w:val="32"/>
          <w:szCs w:val="32"/>
          <w:lang w:val="en-US" w:eastAsia="zh-CN" w:bidi="ar-SA"/>
        </w:rPr>
      </w:pPr>
      <w:r>
        <w:rPr>
          <w:rFonts w:hint="eastAsia" w:ascii="楷体" w:hAnsi="楷体" w:eastAsia="楷体" w:cs="楷体"/>
          <w:b w:val="0"/>
          <w:bCs w:val="0"/>
          <w:color w:val="auto"/>
          <w:sz w:val="32"/>
          <w:szCs w:val="32"/>
          <w:highlight w:val="none"/>
          <w:lang w:val="en-US" w:eastAsia="zh-CN"/>
        </w:rPr>
        <w:t>1.存在的问题</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firstLine="640"/>
        <w:jc w:val="left"/>
        <w:textAlignment w:val="baseline"/>
        <w:rPr>
          <w:rFonts w:hint="eastAsia" w:ascii="楷体_GB2312" w:hAnsi="楷体_GB2312" w:eastAsia="楷体_GB2312" w:cs="仿宋_GB2312"/>
          <w:kern w:val="2"/>
          <w:sz w:val="32"/>
          <w:szCs w:val="32"/>
          <w:lang w:val="en-US" w:eastAsia="zh-CN" w:bidi="ar-SA"/>
        </w:rPr>
      </w:pPr>
      <w:r>
        <w:rPr>
          <w:rFonts w:hint="eastAsia" w:ascii="仿宋_GB2312" w:hAnsi="仿宋_GB2312" w:eastAsia="仿宋_GB2312" w:cs="仿宋_GB2312"/>
          <w:color w:val="000000"/>
          <w:sz w:val="32"/>
          <w:szCs w:val="32"/>
          <w:highlight w:val="none"/>
          <w:lang w:val="en-US" w:eastAsia="zh-CN"/>
        </w:rPr>
        <w:t>产业关联配套不足。现可形成产业链和产业集群的骨干企业不多，产业转移项目缺乏上下游配套支撑，通过招商引资实现建链、补链、延链、强链从而形成产业链的力度需提升。如</w:t>
      </w:r>
      <w:r>
        <w:rPr>
          <w:rFonts w:hint="eastAsia" w:ascii="仿宋_GB2312" w:hAnsi="仿宋_GB2312" w:eastAsia="仿宋_GB2312" w:cs="仿宋_GB2312"/>
          <w:sz w:val="32"/>
          <w:szCs w:val="32"/>
        </w:rPr>
        <w:t>磷化工产业中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精细</w:t>
      </w:r>
      <w:r>
        <w:rPr>
          <w:rFonts w:hint="eastAsia" w:ascii="仿宋_GB2312" w:hAnsi="仿宋_GB2312" w:eastAsia="仿宋_GB2312" w:cs="仿宋_GB2312"/>
          <w:sz w:val="32"/>
          <w:szCs w:val="32"/>
          <w:lang w:eastAsia="zh-CN"/>
        </w:rPr>
        <w:t>化工项目的招引力度较为欠缺</w:t>
      </w:r>
      <w:r>
        <w:rPr>
          <w:rFonts w:hint="eastAsia" w:ascii="仿宋_GB2312" w:hAnsi="仿宋_GB2312" w:eastAsia="仿宋_GB2312" w:cs="仿宋_GB2312"/>
          <w:sz w:val="32"/>
          <w:szCs w:val="32"/>
        </w:rPr>
        <w:t>，</w:t>
      </w:r>
      <w:r>
        <w:rPr>
          <w:rFonts w:hint="eastAsia" w:ascii="仿宋_GB2312" w:eastAsia="仿宋_GB2312"/>
          <w:sz w:val="32"/>
          <w:szCs w:val="32"/>
          <w:lang w:val="en-US" w:eastAsia="zh-CN"/>
        </w:rPr>
        <w:t>虽然前期“两库”储备相对充足，但因受疫情影响，线上招商洽谈效果不佳，</w:t>
      </w:r>
      <w:r>
        <w:rPr>
          <w:rFonts w:hint="eastAsia" w:ascii="仿宋_GB2312" w:hAnsi="仿宋_GB2312" w:eastAsia="仿宋_GB2312" w:cs="仿宋_GB2312"/>
          <w:sz w:val="32"/>
          <w:szCs w:val="32"/>
          <w:lang w:eastAsia="zh-CN"/>
        </w:rPr>
        <w:t>下游延链项目引进较少</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firstLine="640"/>
        <w:jc w:val="left"/>
        <w:textAlignment w:val="baseline"/>
        <w:rPr>
          <w:rFonts w:hint="eastAsia" w:ascii="楷体_GB2312" w:hAnsi="楷体_GB2312" w:eastAsia="楷体_GB2312" w:cs="仿宋_GB2312"/>
          <w:kern w:val="2"/>
          <w:sz w:val="32"/>
          <w:szCs w:val="32"/>
          <w:lang w:val="en-US" w:eastAsia="zh-CN" w:bidi="ar-SA"/>
        </w:rPr>
      </w:pPr>
      <w:r>
        <w:rPr>
          <w:rFonts w:hint="eastAsia" w:ascii="楷体" w:hAnsi="楷体" w:eastAsia="楷体" w:cs="楷体"/>
          <w:b w:val="0"/>
          <w:bCs w:val="0"/>
          <w:color w:val="auto"/>
          <w:sz w:val="32"/>
          <w:szCs w:val="32"/>
          <w:highlight w:val="none"/>
          <w:lang w:val="en-US" w:eastAsia="zh-CN"/>
        </w:rPr>
        <w:t>2.改进措施</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val="0"/>
        <w:bidi w:val="0"/>
        <w:adjustRightInd/>
        <w:snapToGrid/>
        <w:spacing w:line="540" w:lineRule="exact"/>
        <w:ind w:firstLine="643"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auto"/>
          <w:sz w:val="32"/>
          <w:szCs w:val="32"/>
          <w:highlight w:val="none"/>
          <w:lang w:val="en-US" w:eastAsia="zh-CN"/>
        </w:rPr>
        <w:t>（1）盯紧区域联动招。</w:t>
      </w:r>
      <w:r>
        <w:rPr>
          <w:rFonts w:hint="eastAsia" w:ascii="仿宋_GB2312" w:hAnsi="仿宋_GB2312" w:eastAsia="仿宋_GB2312" w:cs="仿宋_GB2312"/>
          <w:color w:val="000000"/>
          <w:sz w:val="32"/>
          <w:szCs w:val="32"/>
        </w:rPr>
        <w:t>依托市政府五个驻外办事处（联络处）对外开放和招商引资职能，以开阳县赴省外招商工作队为抓手，紧盯京津冀、华北、东北、粤港澳大湾区、成渝地区等优势产业，充分利用发达地区产业转移以及商协会人脉资源，在我县动力电池已落户环节的基础上，加快发展强链、延链、补链、扩链招商，重点围绕电池封装、隔膜、废旧锂电池综合利用等企业的招引。同时，积极建立与中央企业的长效沟通招商机制，重点瞄准行业龙头企业、成长性好的大数据企业、结算及研发等总部型企业，深化区域产业合作招商，积极承接产业转移。</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val="0"/>
        <w:bidi w:val="0"/>
        <w:adjustRightInd/>
        <w:snapToGrid/>
        <w:spacing w:line="540" w:lineRule="exact"/>
        <w:ind w:firstLine="643"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b/>
          <w:bCs/>
          <w:color w:val="auto"/>
          <w:sz w:val="32"/>
          <w:szCs w:val="32"/>
          <w:highlight w:val="none"/>
          <w:lang w:val="en-US" w:eastAsia="zh-CN"/>
        </w:rPr>
        <w:t>（2）盯紧供应链企业招。</w:t>
      </w:r>
      <w:r>
        <w:rPr>
          <w:rFonts w:hint="eastAsia" w:ascii="仿宋_GB2312" w:hAnsi="仿宋_GB2312" w:eastAsia="仿宋_GB2312" w:cs="仿宋_GB2312"/>
          <w:color w:val="000000"/>
          <w:sz w:val="32"/>
          <w:szCs w:val="32"/>
        </w:rPr>
        <w:t>加强研究分析，明确重点企业供应链招商重点方向和目标企业，建立健全行业龙头企业“四个一”招商机制（“一个目标规划、一个专班机制、一套政策、一批项目”），注重龙头企业、引领性企业产业链上下游企业招引，不断建链强链补链延链。围绕产业链“两图两库两池”招商方向，结合重点产业发展实际，重点瞄准核心产品、高附加值环节、缺失环节，</w:t>
      </w:r>
      <w:r>
        <w:rPr>
          <w:rFonts w:hint="eastAsia" w:ascii="仿宋_GB2312" w:hAnsi="宋体" w:eastAsia="仿宋_GB2312"/>
          <w:sz w:val="32"/>
          <w:szCs w:val="32"/>
        </w:rPr>
        <w:t>着力围绕宁德时代、中伟新材料、云南胜威等已入驻我县的行业领军企业</w:t>
      </w:r>
      <w:r>
        <w:rPr>
          <w:rFonts w:hint="eastAsia" w:ascii="仿宋_GB2312" w:eastAsia="仿宋_GB2312"/>
          <w:sz w:val="32"/>
          <w:szCs w:val="32"/>
        </w:rPr>
        <w:t>引进一批专精尖上下游配套关联项目（企业）</w:t>
      </w:r>
      <w:r>
        <w:rPr>
          <w:rFonts w:hint="eastAsia" w:ascii="仿宋_GB2312" w:eastAsia="仿宋_GB2312"/>
          <w:sz w:val="32"/>
          <w:szCs w:val="32"/>
          <w:lang w:val="en-US" w:eastAsia="zh-CN"/>
        </w:rPr>
        <w:t>，</w:t>
      </w:r>
      <w:r>
        <w:rPr>
          <w:rFonts w:hint="eastAsia" w:ascii="仿宋_GB2312" w:eastAsia="仿宋_GB2312" w:cs="仿宋_GB2312"/>
          <w:color w:val="000000"/>
          <w:sz w:val="32"/>
          <w:szCs w:val="32"/>
        </w:rPr>
        <w:t>以“一企一策”承接方案</w:t>
      </w:r>
      <w:r>
        <w:rPr>
          <w:rFonts w:hint="eastAsia" w:ascii="仿宋_GB2312" w:hAnsi="仿宋_GB2312" w:eastAsia="仿宋_GB2312" w:cs="仿宋_GB2312"/>
          <w:sz w:val="32"/>
          <w:szCs w:val="32"/>
        </w:rPr>
        <w:t>盯紧重点产业上下游意向落户企业，</w:t>
      </w:r>
      <w:r>
        <w:rPr>
          <w:rFonts w:hint="eastAsia" w:ascii="仿宋_GB2312" w:eastAsia="仿宋_GB2312" w:cs="仿宋_GB2312"/>
          <w:color w:val="000000"/>
          <w:sz w:val="32"/>
          <w:szCs w:val="32"/>
        </w:rPr>
        <w:t>努力实现新能源电池材料全产业链相继落地，遍地开花的情景。</w:t>
      </w:r>
      <w:r>
        <w:rPr>
          <w:rFonts w:ascii="仿宋_GB2312" w:hAnsi="仿宋_GB2312" w:eastAsia="仿宋_GB2312" w:cs="仿宋_GB2312"/>
          <w:sz w:val="32"/>
          <w:szCs w:val="32"/>
        </w:rPr>
        <w:t xml:space="preserve"> </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firstLine="640"/>
        <w:jc w:val="left"/>
        <w:textAlignment w:val="baseline"/>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auto"/>
          <w:sz w:val="32"/>
          <w:szCs w:val="32"/>
          <w:highlight w:val="none"/>
          <w:lang w:val="en-US" w:eastAsia="zh-CN"/>
        </w:rPr>
        <w:t>（3）盯紧投产效率招。</w:t>
      </w:r>
      <w:r>
        <w:rPr>
          <w:rFonts w:hint="eastAsia" w:ascii="仿宋_GB2312" w:hAnsi="仿宋_GB2312" w:eastAsia="仿宋_GB2312" w:cs="仿宋_GB2312"/>
          <w:color w:val="000000"/>
          <w:sz w:val="32"/>
          <w:szCs w:val="32"/>
        </w:rPr>
        <w:t>严格贯彻落实《</w:t>
      </w:r>
      <w:r>
        <w:rPr>
          <w:rFonts w:hint="eastAsia" w:ascii="仿宋_GB2312" w:hAnsi="仿宋_GB2312" w:eastAsia="仿宋_GB2312" w:cs="仿宋_GB2312"/>
          <w:color w:val="000000"/>
          <w:sz w:val="32"/>
          <w:szCs w:val="32"/>
          <w:lang w:eastAsia="zh-CN"/>
        </w:rPr>
        <w:t>贵州省</w:t>
      </w:r>
      <w:r>
        <w:rPr>
          <w:rFonts w:hint="eastAsia" w:ascii="仿宋_GB2312" w:hAnsi="仿宋_GB2312" w:eastAsia="仿宋_GB2312" w:cs="仿宋_GB2312"/>
          <w:color w:val="000000"/>
          <w:sz w:val="32"/>
          <w:szCs w:val="32"/>
        </w:rPr>
        <w:t>关于提高招商引资工作质量的指导意见》</w:t>
      </w:r>
      <w:r>
        <w:rPr>
          <w:rFonts w:hint="eastAsia" w:ascii="仿宋_GB2312" w:hAnsi="仿宋_GB2312" w:eastAsia="仿宋_GB2312" w:cs="仿宋_GB2312"/>
          <w:color w:val="000000"/>
          <w:sz w:val="32"/>
          <w:szCs w:val="32"/>
          <w:lang w:eastAsia="zh-CN"/>
        </w:rPr>
        <w:t>及</w:t>
      </w:r>
      <w:r>
        <w:rPr>
          <w:rFonts w:hint="eastAsia" w:ascii="仿宋_GB2312" w:hAnsi="仿宋_GB2312" w:eastAsia="仿宋_GB2312" w:cs="仿宋_GB2312"/>
          <w:color w:val="auto"/>
          <w:sz w:val="32"/>
          <w:szCs w:val="32"/>
          <w:shd w:val="clear" w:color="auto" w:fill="FFFFFF"/>
        </w:rPr>
        <w:t>《贵阳市重大招商引资项目引进评估办法》</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auto"/>
          <w:sz w:val="32"/>
          <w:szCs w:val="32"/>
        </w:rPr>
        <w:t>严守“三条红线”（生态保护红线、环境质量底线、资源利用上线），做到“四个不招”（环保问题、违反政策、产能过剩、形象工程项目不招），</w:t>
      </w:r>
      <w:r>
        <w:rPr>
          <w:rFonts w:hint="eastAsia" w:ascii="仿宋_GB2312" w:hAnsi="仿宋_GB2312" w:eastAsia="仿宋_GB2312" w:cs="仿宋_GB2312"/>
          <w:color w:val="000000"/>
          <w:sz w:val="32"/>
          <w:szCs w:val="32"/>
        </w:rPr>
        <w:t>强化项目评估论证机制，重点从土地、环保、司法等领域，对项目在产业发展、环保、规划、用地等方面进行评估，力争从招商前段保障项目质量及效益，从而进一步提高项目履约率、资金到位率、投产率和入园率。</w:t>
      </w:r>
      <w:r>
        <w:rPr>
          <w:rFonts w:hint="eastAsia" w:ascii="仿宋_GB2312" w:hAnsi="仿宋_GB2312" w:eastAsia="仿宋_GB2312" w:cs="仿宋_GB2312"/>
          <w:color w:val="auto"/>
          <w:sz w:val="32"/>
          <w:szCs w:val="32"/>
        </w:rPr>
        <w:t>对全县招商引资重大决策部署、重大项目引进等进行科学研判，</w:t>
      </w:r>
      <w:r>
        <w:rPr>
          <w:rStyle w:val="16"/>
          <w:rFonts w:hint="eastAsia" w:ascii="仿宋_GB2312" w:hAnsi="仿宋_GB2312" w:eastAsia="仿宋_GB2312" w:cs="仿宋_GB2312"/>
          <w:color w:val="auto"/>
          <w:kern w:val="0"/>
          <w:sz w:val="32"/>
          <w:szCs w:val="32"/>
        </w:rPr>
        <w:t>明确项目亩均</w:t>
      </w:r>
      <w:r>
        <w:rPr>
          <w:rFonts w:hint="eastAsia" w:ascii="仿宋_GB2312" w:hAnsi="仿宋_GB2312" w:eastAsia="仿宋_GB2312" w:cs="仿宋_GB2312"/>
          <w:color w:val="auto"/>
          <w:sz w:val="32"/>
          <w:szCs w:val="32"/>
        </w:rPr>
        <w:t>税收贡献、产出强度、</w:t>
      </w:r>
      <w:r>
        <w:rPr>
          <w:rStyle w:val="16"/>
          <w:rFonts w:hint="eastAsia" w:ascii="仿宋_GB2312" w:hAnsi="仿宋_GB2312" w:eastAsia="仿宋_GB2312" w:cs="仿宋_GB2312"/>
          <w:color w:val="auto"/>
          <w:kern w:val="0"/>
          <w:sz w:val="32"/>
          <w:szCs w:val="32"/>
        </w:rPr>
        <w:t>投</w:t>
      </w:r>
      <w:r>
        <w:rPr>
          <w:rFonts w:hint="eastAsia" w:ascii="仿宋_GB2312" w:hAnsi="仿宋_GB2312" w:eastAsia="仿宋_GB2312" w:cs="仿宋_GB2312"/>
          <w:color w:val="auto"/>
          <w:sz w:val="32"/>
          <w:szCs w:val="32"/>
        </w:rPr>
        <w:t>资强度，</w:t>
      </w:r>
      <w:r>
        <w:rPr>
          <w:rFonts w:hint="eastAsia" w:ascii="仿宋_GB2312" w:hAnsi="仿宋_GB2312" w:eastAsia="仿宋_GB2312" w:cs="仿宋_GB2312"/>
          <w:color w:val="auto"/>
          <w:sz w:val="32"/>
          <w:szCs w:val="32"/>
          <w:lang w:val="en-US" w:eastAsia="zh-CN"/>
        </w:rPr>
        <w:t>算好经济效益与政府投入账，</w:t>
      </w:r>
      <w:r>
        <w:rPr>
          <w:rFonts w:hint="eastAsia" w:ascii="仿宋_GB2312" w:hAnsi="仿宋_GB2312" w:eastAsia="仿宋_GB2312" w:cs="仿宋_GB2312"/>
          <w:color w:val="auto"/>
          <w:sz w:val="32"/>
          <w:szCs w:val="32"/>
        </w:rPr>
        <w:t>健全合同</w:t>
      </w:r>
      <w:r>
        <w:rPr>
          <w:rFonts w:hint="eastAsia" w:ascii="仿宋_GB2312" w:hAnsi="仿宋_GB2312" w:eastAsia="仿宋_GB2312" w:cs="仿宋_GB2312"/>
          <w:color w:val="auto"/>
          <w:sz w:val="32"/>
          <w:szCs w:val="32"/>
          <w:lang w:val="en-US" w:eastAsia="zh-CN"/>
        </w:rPr>
        <w:t>对赌</w:t>
      </w:r>
      <w:r>
        <w:rPr>
          <w:rFonts w:hint="eastAsia" w:ascii="仿宋_GB2312" w:hAnsi="仿宋_GB2312" w:eastAsia="仿宋_GB2312" w:cs="仿宋_GB2312"/>
          <w:color w:val="auto"/>
          <w:sz w:val="32"/>
          <w:szCs w:val="32"/>
        </w:rPr>
        <w:t>约束机制</w:t>
      </w:r>
      <w:r>
        <w:rPr>
          <w:rFonts w:hint="eastAsia" w:ascii="仿宋_GB2312" w:hAnsi="仿宋_GB2312" w:eastAsia="仿宋_GB2312" w:cs="仿宋_GB2312"/>
          <w:color w:val="000000"/>
          <w:sz w:val="32"/>
          <w:szCs w:val="32"/>
        </w:rPr>
        <w:t>。</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firstLine="640"/>
        <w:jc w:val="left"/>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营商环境工作涵盖面广，工作内容多，且省、市会根据工作需要提出新的工作要求，因此营商环境考评工作业务经费40万元可以根据工作需要作相应调整使用。</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firstLine="640"/>
        <w:jc w:val="left"/>
        <w:textAlignment w:val="baseline"/>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（5）</w:t>
      </w:r>
      <w:r>
        <w:rPr>
          <w:rFonts w:hint="eastAsia" w:ascii="楷体_GB2312" w:hAnsi="楷体_GB2312" w:eastAsia="楷体_GB2312" w:cs="楷体_GB2312"/>
          <w:b w:val="0"/>
          <w:bCs w:val="0"/>
          <w:sz w:val="32"/>
          <w:szCs w:val="32"/>
          <w:highlight w:val="none"/>
          <w:lang w:val="en-US" w:eastAsia="zh-CN"/>
        </w:rPr>
        <w:t>进一步</w:t>
      </w:r>
      <w:r>
        <w:rPr>
          <w:rFonts w:hint="eastAsia" w:ascii="楷体_GB2312" w:hAnsi="楷体_GB2312" w:eastAsia="楷体_GB2312" w:cs="楷体_GB2312"/>
          <w:b w:val="0"/>
          <w:bCs w:val="0"/>
          <w:sz w:val="32"/>
          <w:szCs w:val="32"/>
          <w:highlight w:val="none"/>
          <w:lang w:eastAsia="zh-CN"/>
        </w:rPr>
        <w:t>发挥平台优势，优化电商赋能。</w:t>
      </w:r>
      <w:r>
        <w:rPr>
          <w:rFonts w:hint="eastAsia" w:ascii="仿宋_GB2312" w:hAnsi="仿宋_GB2312" w:eastAsia="仿宋_GB2312" w:cs="仿宋_GB2312"/>
          <w:b w:val="0"/>
          <w:bCs w:val="0"/>
          <w:sz w:val="32"/>
          <w:szCs w:val="32"/>
          <w:highlight w:val="none"/>
          <w:lang w:eastAsia="zh-CN"/>
        </w:rPr>
        <w:t>继续</w:t>
      </w:r>
      <w:r>
        <w:rPr>
          <w:rFonts w:hint="eastAsia" w:ascii="仿宋_GB2312" w:hAnsi="仿宋_GB2312" w:eastAsia="仿宋_GB2312" w:cs="仿宋_GB2312"/>
          <w:b w:val="0"/>
          <w:bCs w:val="0"/>
          <w:sz w:val="32"/>
          <w:szCs w:val="32"/>
          <w:highlight w:val="none"/>
          <w:lang w:val="en-US" w:eastAsia="zh-CN"/>
        </w:rPr>
        <w:t>发挥</w:t>
      </w:r>
      <w:r>
        <w:rPr>
          <w:rFonts w:hint="eastAsia" w:ascii="仿宋_GB2312" w:hAnsi="仿宋_GB2312" w:eastAsia="仿宋_GB2312" w:cs="仿宋_GB2312"/>
          <w:sz w:val="32"/>
          <w:szCs w:val="32"/>
          <w:highlight w:val="none"/>
          <w:lang w:eastAsia="zh-CN"/>
        </w:rPr>
        <w:t>县级电子商务</w:t>
      </w:r>
      <w:r>
        <w:rPr>
          <w:rFonts w:hint="eastAsia" w:ascii="仿宋_GB2312" w:hAnsi="仿宋_GB2312" w:eastAsia="仿宋_GB2312" w:cs="仿宋_GB2312"/>
          <w:sz w:val="32"/>
          <w:szCs w:val="32"/>
          <w:highlight w:val="none"/>
        </w:rPr>
        <w:t>公共服务中心电商孵化、人员培训、包装设计、营销策划、产品展示、数据采集统计分析、电子结算等功能</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b/>
          <w:bCs/>
          <w:sz w:val="32"/>
          <w:szCs w:val="32"/>
          <w:highlight w:val="none"/>
          <w:lang w:val="en-US" w:eastAsia="zh-CN"/>
        </w:rPr>
        <w:t>一是</w:t>
      </w:r>
      <w:r>
        <w:rPr>
          <w:rFonts w:hint="eastAsia" w:ascii="仿宋_GB2312" w:hAnsi="仿宋_GB2312" w:eastAsia="仿宋_GB2312" w:cs="仿宋_GB2312"/>
          <w:sz w:val="32"/>
          <w:szCs w:val="32"/>
          <w:highlight w:val="none"/>
          <w:lang w:eastAsia="zh-CN"/>
        </w:rPr>
        <w:t>利用</w:t>
      </w:r>
      <w:r>
        <w:rPr>
          <w:rFonts w:hint="eastAsia" w:ascii="仿宋_GB2312" w:hAnsi="仿宋_GB2312" w:eastAsia="仿宋_GB2312" w:cs="仿宋_GB2312"/>
          <w:sz w:val="32"/>
          <w:szCs w:val="32"/>
          <w:highlight w:val="none"/>
        </w:rPr>
        <w:t>O2O展示区突出富硒</w:t>
      </w:r>
      <w:r>
        <w:rPr>
          <w:rFonts w:hint="eastAsia" w:ascii="仿宋_GB2312" w:hAnsi="仿宋_GB2312" w:eastAsia="仿宋_GB2312" w:cs="仿宋_GB2312"/>
          <w:sz w:val="32"/>
          <w:szCs w:val="32"/>
          <w:highlight w:val="none"/>
          <w:lang w:eastAsia="zh-CN"/>
        </w:rPr>
        <w:t>农</w:t>
      </w:r>
      <w:r>
        <w:rPr>
          <w:rFonts w:hint="eastAsia" w:ascii="仿宋_GB2312" w:hAnsi="仿宋_GB2312" w:eastAsia="仿宋_GB2312" w:cs="仿宋_GB2312"/>
          <w:sz w:val="32"/>
          <w:szCs w:val="32"/>
          <w:highlight w:val="none"/>
        </w:rPr>
        <w:t>产品文化</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同时，在抖音、微视等短视频平台宣传本地农特产品，为电商产业发展进一步夯实基础。</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firstLine="640"/>
        <w:jc w:val="left"/>
        <w:textAlignment w:val="baseline"/>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（6）</w:t>
      </w:r>
      <w:r>
        <w:rPr>
          <w:rFonts w:hint="eastAsia" w:ascii="仿宋_GB2312" w:hAnsi="仿宋_GB2312" w:eastAsia="仿宋_GB2312" w:cs="仿宋_GB2312"/>
          <w:color w:val="000000"/>
          <w:sz w:val="32"/>
          <w:szCs w:val="32"/>
          <w:highlight w:val="none"/>
        </w:rPr>
        <w:t>对经营情况良好、财务较为规范的企业加强政策倾斜，特别是对</w:t>
      </w:r>
      <w:r>
        <w:rPr>
          <w:rFonts w:hint="eastAsia" w:ascii="仿宋_GB2312" w:hAnsi="仿宋_GB2312" w:eastAsia="仿宋_GB2312" w:cs="仿宋_GB2312"/>
          <w:color w:val="000000"/>
          <w:sz w:val="32"/>
          <w:szCs w:val="32"/>
          <w:highlight w:val="none"/>
          <w:lang w:eastAsia="zh-CN"/>
        </w:rPr>
        <w:t>大猪香食品、</w:t>
      </w:r>
      <w:r>
        <w:rPr>
          <w:rFonts w:hint="eastAsia" w:ascii="仿宋_GB2312" w:hAnsi="仿宋_GB2312" w:eastAsia="仿宋_GB2312" w:cs="仿宋_GB2312"/>
          <w:color w:val="000000"/>
          <w:sz w:val="32"/>
          <w:szCs w:val="32"/>
          <w:highlight w:val="none"/>
        </w:rPr>
        <w:t>万家乐超市、华联万家超市等企业，做好经营情况跟</w:t>
      </w:r>
      <w:r>
        <w:rPr>
          <w:rFonts w:hint="eastAsia" w:ascii="仿宋_GB2312" w:hAnsi="仿宋_GB2312" w:eastAsia="仿宋_GB2312" w:cs="仿宋_GB2312"/>
          <w:color w:val="000000"/>
          <w:sz w:val="32"/>
          <w:szCs w:val="32"/>
          <w:highlight w:val="none"/>
          <w:lang w:eastAsia="zh-CN"/>
        </w:rPr>
        <w:t>进</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及时收集资料</w:t>
      </w:r>
      <w:r>
        <w:rPr>
          <w:rFonts w:hint="eastAsia" w:ascii="仿宋_GB2312" w:hAnsi="仿宋_GB2312" w:eastAsia="仿宋_GB2312" w:cs="仿宋_GB2312"/>
          <w:color w:val="000000"/>
          <w:sz w:val="32"/>
          <w:szCs w:val="32"/>
          <w:highlight w:val="none"/>
        </w:rPr>
        <w:t>培育入库，形成增量支撑。</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bidi w:val="0"/>
        <w:adjustRightInd/>
        <w:snapToGrid/>
        <w:spacing w:before="0" w:beforeAutospacing="0" w:afterAutospacing="0" w:line="540" w:lineRule="exact"/>
        <w:ind w:right="0" w:rightChars="0" w:firstLine="640" w:firstLineChars="200"/>
        <w:jc w:val="left"/>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我局承担的招商引资、营商环境、商贸事务等工作涵盖面广，工作内容多，且省、市会根据工作需要提出新的工作要求，因此希望各项经费可以根据工作需要作相应调整使用。</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val="0"/>
        <w:bidi w:val="0"/>
        <w:adjustRightInd/>
        <w:snapToGrid w:val="0"/>
        <w:spacing w:line="560" w:lineRule="exact"/>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六、</w:t>
      </w:r>
      <w:r>
        <w:rPr>
          <w:rFonts w:hint="eastAsia" w:ascii="仿宋_GB2312" w:hAnsi="仿宋_GB2312" w:eastAsia="仿宋_GB2312" w:cs="仿宋_GB2312"/>
          <w:b/>
          <w:bCs/>
          <w:sz w:val="32"/>
          <w:szCs w:val="32"/>
        </w:rPr>
        <w:t>其他需要说明的问题</w:t>
      </w:r>
    </w:p>
    <w:p>
      <w:pPr>
        <w:keepNext w:val="0"/>
        <w:keepLines w:val="0"/>
        <w:pageBreakBefore w:val="0"/>
        <w:widowControl w:val="0"/>
        <w:numPr>
          <w:ilvl w:val="0"/>
          <w:numId w:val="0"/>
        </w:numPr>
        <w:pBdr>
          <w:top w:val="none" w:color="000000" w:sz="0" w:space="0"/>
          <w:left w:val="none" w:color="000000" w:sz="0" w:space="0"/>
          <w:bottom w:val="none" w:color="000000" w:sz="0" w:space="22"/>
          <w:right w:val="none" w:color="000000" w:sz="0" w:space="1"/>
        </w:pBdr>
        <w:kinsoku/>
        <w:wordWrap/>
        <w:overflowPunct/>
        <w:topLinePunct w:val="0"/>
        <w:autoSpaceDE/>
        <w:autoSpaceDN w:val="0"/>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书宋简体">
    <w:altName w:val="宋体"/>
    <w:panose1 w:val="00000000000000000000"/>
    <w:charset w:val="86"/>
    <w:family w:val="auto"/>
    <w:pitch w:val="default"/>
    <w:sig w:usb0="00000000" w:usb1="00000000" w:usb2="00000010" w:usb3="00000000" w:csb0="00040000" w:csb1="00000000"/>
  </w:font>
  <w:font w:name="公文小标宋简">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roma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347058"/>
    <w:multiLevelType w:val="singleLevel"/>
    <w:tmpl w:val="18347058"/>
    <w:lvl w:ilvl="0" w:tentative="0">
      <w:start w:val="2"/>
      <w:numFmt w:val="chineseCounting"/>
      <w:suff w:val="nothing"/>
      <w:lvlText w:val="（%1）"/>
      <w:lvlJc w:val="left"/>
      <w:rPr>
        <w:rFonts w:hint="eastAsia"/>
      </w:rPr>
    </w:lvl>
  </w:abstractNum>
  <w:abstractNum w:abstractNumId="1">
    <w:nsid w:val="5573E5F8"/>
    <w:multiLevelType w:val="singleLevel"/>
    <w:tmpl w:val="5573E5F8"/>
    <w:lvl w:ilvl="0" w:tentative="0">
      <w:start w:val="3"/>
      <w:numFmt w:val="chineseCounting"/>
      <w:suff w:val="nothing"/>
      <w:lvlText w:val="%1、"/>
      <w:lvlJc w:val="left"/>
      <w:pPr>
        <w:ind w:left="-13"/>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mODljYWNiMGQ1ODJhNDQ3ZmM1NGJmMDJjNzE0NDYifQ=="/>
  </w:docVars>
  <w:rsids>
    <w:rsidRoot w:val="00000000"/>
    <w:rsid w:val="004F1563"/>
    <w:rsid w:val="03D43F9F"/>
    <w:rsid w:val="058578B8"/>
    <w:rsid w:val="0E8303F3"/>
    <w:rsid w:val="132A7687"/>
    <w:rsid w:val="19DE2FF1"/>
    <w:rsid w:val="1C4307A0"/>
    <w:rsid w:val="23126B17"/>
    <w:rsid w:val="23EF166A"/>
    <w:rsid w:val="26B655ED"/>
    <w:rsid w:val="288664B7"/>
    <w:rsid w:val="2C500DB6"/>
    <w:rsid w:val="2D283E44"/>
    <w:rsid w:val="3C817D93"/>
    <w:rsid w:val="43774ABB"/>
    <w:rsid w:val="48825F81"/>
    <w:rsid w:val="4B4E1CE6"/>
    <w:rsid w:val="4F2D209F"/>
    <w:rsid w:val="55B41A82"/>
    <w:rsid w:val="63540CF8"/>
    <w:rsid w:val="65960DCF"/>
    <w:rsid w:val="6784541A"/>
    <w:rsid w:val="704E1C86"/>
    <w:rsid w:val="79BF5B26"/>
    <w:rsid w:val="7A8E1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uiPriority w:val="0"/>
    <w:pPr>
      <w:widowControl/>
      <w:spacing w:before="100" w:beforeAutospacing="1" w:after="100" w:afterAutospacing="1"/>
      <w:jc w:val="left"/>
    </w:pPr>
    <w:rPr>
      <w:rFonts w:ascii="宋体" w:hAnsi="宋体" w:cs="宋体"/>
      <w:kern w:val="0"/>
      <w:sz w:val="24"/>
    </w:rPr>
  </w:style>
  <w:style w:type="paragraph" w:customStyle="1" w:styleId="3">
    <w:name w:val="_Style 2"/>
    <w:next w:val="1"/>
    <w:qFormat/>
    <w:uiPriority w:val="0"/>
    <w:pPr>
      <w:wordWrap w:val="0"/>
    </w:pPr>
    <w:rPr>
      <w:rFonts w:ascii="Times New Roman" w:hAnsi="Times New Roman" w:eastAsia="Times New Roman" w:cs="宋体"/>
      <w:sz w:val="32"/>
      <w:szCs w:val="22"/>
      <w:lang w:val="en-US" w:eastAsia="zh-CN" w:bidi="ar-SA"/>
    </w:rPr>
  </w:style>
  <w:style w:type="paragraph" w:styleId="4">
    <w:name w:val="Body Text Indent"/>
    <w:basedOn w:val="1"/>
    <w:next w:val="5"/>
    <w:qFormat/>
    <w:uiPriority w:val="0"/>
    <w:pPr>
      <w:spacing w:line="380" w:lineRule="exact"/>
      <w:ind w:firstLine="480" w:firstLineChars="200"/>
      <w:jc w:val="left"/>
    </w:pPr>
    <w:rPr>
      <w:rFonts w:ascii="Times New Roman" w:hAnsi="Times New Roman" w:eastAsia="方正书宋简体" w:cs="Times New Roman"/>
      <w:sz w:val="24"/>
      <w:szCs w:val="20"/>
    </w:rPr>
  </w:style>
  <w:style w:type="paragraph" w:styleId="5">
    <w:name w:val="Body Text Indent 2"/>
    <w:basedOn w:val="1"/>
    <w:next w:val="6"/>
    <w:qFormat/>
    <w:uiPriority w:val="0"/>
    <w:pPr>
      <w:ind w:firstLine="630"/>
    </w:pPr>
    <w:rPr>
      <w:b/>
      <w:sz w:val="32"/>
    </w:rPr>
  </w:style>
  <w:style w:type="paragraph" w:styleId="6">
    <w:name w:val="Body Text Indent 3"/>
    <w:basedOn w:val="1"/>
    <w:next w:val="7"/>
    <w:qFormat/>
    <w:uiPriority w:val="99"/>
    <w:pPr>
      <w:ind w:left="200" w:leftChars="200"/>
    </w:pPr>
    <w:rPr>
      <w:sz w:val="16"/>
      <w:szCs w:val="16"/>
    </w:rPr>
  </w:style>
  <w:style w:type="paragraph" w:customStyle="1" w:styleId="7">
    <w:name w:val="主题词"/>
    <w:basedOn w:val="1"/>
    <w:qFormat/>
    <w:uiPriority w:val="0"/>
    <w:pPr>
      <w:ind w:left="1246" w:hanging="1246"/>
    </w:pPr>
    <w:rPr>
      <w:rFonts w:ascii="Times New Roman" w:hAnsi="Times New Roman" w:eastAsia="公文小标宋简"/>
      <w:szCs w:val="20"/>
    </w:rPr>
  </w:style>
  <w:style w:type="paragraph" w:styleId="8">
    <w:name w:val="index 9"/>
    <w:basedOn w:val="1"/>
    <w:next w:val="1"/>
    <w:qFormat/>
    <w:uiPriority w:val="0"/>
    <w:pPr>
      <w:ind w:left="3360"/>
    </w:pPr>
  </w:style>
  <w:style w:type="paragraph" w:styleId="9">
    <w:name w:val="Normal (Web)"/>
    <w:basedOn w:val="1"/>
    <w:next w:val="8"/>
    <w:qFormat/>
    <w:uiPriority w:val="0"/>
    <w:pPr>
      <w:widowControl/>
      <w:spacing w:before="100" w:beforeAutospacing="1" w:after="100" w:afterAutospacing="1"/>
      <w:jc w:val="left"/>
    </w:pPr>
    <w:rPr>
      <w:rFonts w:ascii="宋体" w:hAnsi="宋体" w:cs="宋体"/>
      <w:kern w:val="0"/>
      <w:sz w:val="24"/>
    </w:rPr>
  </w:style>
  <w:style w:type="paragraph" w:styleId="10">
    <w:name w:val="Body Text First Indent 2"/>
    <w:basedOn w:val="4"/>
    <w:next w:val="1"/>
    <w:unhideWhenUsed/>
    <w:qFormat/>
    <w:uiPriority w:val="99"/>
    <w:pPr>
      <w:ind w:firstLine="420"/>
    </w:pPr>
  </w:style>
  <w:style w:type="paragraph" w:customStyle="1" w:styleId="13">
    <w:name w:val="正文-公1"/>
    <w:basedOn w:val="14"/>
    <w:next w:val="9"/>
    <w:qFormat/>
    <w:uiPriority w:val="0"/>
    <w:pPr>
      <w:ind w:firstLine="200" w:firstLineChars="200"/>
    </w:pPr>
    <w:rPr>
      <w:color w:val="000000"/>
    </w:rPr>
  </w:style>
  <w:style w:type="paragraph" w:customStyle="1" w:styleId="14">
    <w:name w:val="正文1"/>
    <w:next w:val="13"/>
    <w:qFormat/>
    <w:uiPriority w:val="0"/>
    <w:pPr>
      <w:jc w:val="both"/>
    </w:pPr>
    <w:rPr>
      <w:rFonts w:ascii="Calibri" w:hAnsi="Calibri" w:eastAsia="宋体" w:cs="黑体"/>
      <w:sz w:val="21"/>
      <w:szCs w:val="22"/>
      <w:lang w:val="en-US" w:eastAsia="zh-CN" w:bidi="ar-SA"/>
    </w:rPr>
  </w:style>
  <w:style w:type="character" w:customStyle="1" w:styleId="15">
    <w:name w:val="font51"/>
    <w:basedOn w:val="12"/>
    <w:uiPriority w:val="0"/>
    <w:rPr>
      <w:rFonts w:hint="eastAsia" w:ascii="宋体" w:hAnsi="宋体" w:eastAsia="宋体" w:cs="宋体"/>
      <w:color w:val="000000"/>
      <w:sz w:val="22"/>
      <w:szCs w:val="22"/>
      <w:u w:val="none"/>
    </w:rPr>
  </w:style>
  <w:style w:type="character" w:customStyle="1" w:styleId="16">
    <w:name w:val="15"/>
    <w:basedOn w:val="12"/>
    <w:qFormat/>
    <w:uiPriority w:val="0"/>
    <w:rPr>
      <w:rFonts w:hint="default"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5616</Words>
  <Characters>6044</Characters>
  <Lines>0</Lines>
  <Paragraphs>0</Paragraphs>
  <TotalTime>3</TotalTime>
  <ScaleCrop>false</ScaleCrop>
  <LinksUpToDate>false</LinksUpToDate>
  <CharactersWithSpaces>6899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kyczjysk2</dc:creator>
  <cp:lastModifiedBy>深 蓝</cp:lastModifiedBy>
  <cp:lastPrinted>2023-07-26T05:52:58Z</cp:lastPrinted>
  <dcterms:modified xsi:type="dcterms:W3CDTF">2023-07-26T05:54:32Z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7A178B788F964652ADCC7EFB431D958E_13</vt:lpwstr>
  </property>
</Properties>
</file>